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54" w:rsidRDefault="006D692B" w:rsidP="003B35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Checklist for AUN-QA Assessment at 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>
        <w:rPr>
          <w:rFonts w:ascii="TH Niramit AS" w:hAnsi="TH Niramit AS" w:cs="TH Niramit AS"/>
          <w:b/>
          <w:bCs/>
          <w:sz w:val="32"/>
          <w:szCs w:val="32"/>
        </w:rPr>
        <w:t xml:space="preserve"> Level</w:t>
      </w:r>
    </w:p>
    <w:p w:rsidR="006D692B" w:rsidRDefault="006D692B" w:rsidP="003B35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Name of </w:t>
      </w:r>
      <w:proofErr w:type="spellStart"/>
      <w:proofErr w:type="gramStart"/>
      <w:r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>
        <w:rPr>
          <w:rFonts w:ascii="TH Niramit AS" w:hAnsi="TH Niramit AS" w:cs="TH Niramit AS"/>
          <w:b/>
          <w:bCs/>
          <w:sz w:val="32"/>
          <w:szCs w:val="32"/>
        </w:rPr>
        <w:t xml:space="preserve"> :</w:t>
      </w:r>
      <w:proofErr w:type="gramEnd"/>
      <w:r>
        <w:rPr>
          <w:rFonts w:ascii="TH Niramit AS" w:hAnsi="TH Niramit AS" w:cs="TH Niramit AS"/>
          <w:b/>
          <w:bCs/>
          <w:sz w:val="32"/>
          <w:szCs w:val="32"/>
        </w:rPr>
        <w:t xml:space="preserve"> ………………………..</w:t>
      </w:r>
    </w:p>
    <w:p w:rsidR="006D692B" w:rsidRDefault="006D692B" w:rsidP="003B35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Faculty/</w:t>
      </w:r>
      <w:proofErr w:type="gramStart"/>
      <w:r>
        <w:rPr>
          <w:rFonts w:ascii="TH Niramit AS" w:hAnsi="TH Niramit AS" w:cs="TH Niramit AS"/>
          <w:b/>
          <w:bCs/>
          <w:sz w:val="32"/>
          <w:szCs w:val="32"/>
        </w:rPr>
        <w:t>College :</w:t>
      </w:r>
      <w:proofErr w:type="gramEnd"/>
      <w:r>
        <w:rPr>
          <w:rFonts w:ascii="TH Niramit AS" w:hAnsi="TH Niramit AS" w:cs="TH Niramit AS"/>
          <w:b/>
          <w:bCs/>
          <w:sz w:val="32"/>
          <w:szCs w:val="32"/>
        </w:rPr>
        <w:t xml:space="preserve"> …………………………………</w:t>
      </w:r>
    </w:p>
    <w:p w:rsidR="006D692B" w:rsidRDefault="006D692B" w:rsidP="003B35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Academic Year 2018</w:t>
      </w:r>
    </w:p>
    <w:p w:rsidR="003B3554" w:rsidRDefault="003B3554" w:rsidP="003B35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---------------</w:t>
      </w:r>
    </w:p>
    <w:p w:rsidR="006D692B" w:rsidRDefault="006D692B" w:rsidP="003B355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9781" w:type="dxa"/>
        <w:tblInd w:w="-577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C84E00" w:rsidRPr="00C84E00" w:rsidTr="006D692B">
        <w:trPr>
          <w:trHeight w:val="340"/>
          <w:tblHeader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84E00">
              <w:rPr>
                <w:rFonts w:ascii="TH Niramit AS" w:eastAsia="Times New Roman" w:hAnsi="TH Niramit AS" w:cs="TH Niramit AS"/>
                <w:b/>
                <w:bCs/>
                <w:color w:val="222222"/>
                <w:sz w:val="32"/>
                <w:szCs w:val="32"/>
              </w:rPr>
              <w:t>Criterion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right w:val="single" w:sz="8" w:space="0" w:color="CCCCCC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84E0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Score</w:t>
            </w:r>
          </w:p>
        </w:tc>
      </w:tr>
      <w:tr w:rsidR="00C84E00" w:rsidRPr="00C84E00" w:rsidTr="006D692B">
        <w:trPr>
          <w:trHeight w:val="193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Expected Learning Outcomes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1.1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expected learning outcomes have been clearly formulated and aligned with the vision and mission of the university [1,2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1.2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expected learning outcomes cover both subject specific and generic (i.e. transferable) learning outcomes [3]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1.3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expected learning outcomes clearly reflect the requirements of the stakeholders [4]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hyperlink r:id="rId4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 xml:space="preserve">2 </w:t>
              </w:r>
            </w:hyperlink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proofErr w:type="spellStart"/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Programme</w:t>
            </w:r>
            <w:proofErr w:type="spellEnd"/>
            <w:r w:rsidRPr="00C84E00">
              <w:rPr>
                <w:rFonts w:ascii="TH Niramit AS" w:hAnsi="TH Niramit AS" w:cs="TH Niramit AS"/>
                <w:sz w:val="32"/>
                <w:szCs w:val="32"/>
              </w:rPr>
              <w:fldChar w:fldCharType="begin"/>
            </w:r>
            <w:r w:rsidRPr="00C84E00">
              <w:rPr>
                <w:rFonts w:ascii="TH Niramit AS" w:hAnsi="TH Niramit AS" w:cs="TH Niramit AS"/>
                <w:sz w:val="32"/>
                <w:szCs w:val="32"/>
              </w:rPr>
              <w:instrText xml:space="preserve"> HYPERLINK "https://esar.tsu.ac.th/qareportcoursepub/indicatorlist.jsp?action=detail&amp;id=MTA0MjI=&amp;idm=MzA5&amp;eid=MzU=" \h </w:instrText>
            </w:r>
            <w:r w:rsidRPr="00C84E00">
              <w:rPr>
                <w:rFonts w:ascii="TH Niramit AS" w:hAnsi="TH Niramit AS" w:cs="TH Niramit AS"/>
                <w:sz w:val="32"/>
                <w:szCs w:val="32"/>
              </w:rPr>
              <w:fldChar w:fldCharType="separate"/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Specification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2.1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The information in the </w:t>
            </w:r>
            <w:hyperlink r:id="rId5">
              <w:proofErr w:type="spellStart"/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>programme</w:t>
              </w:r>
              <w:proofErr w:type="spellEnd"/>
            </w:hyperlink>
            <w:hyperlink r:id="rId6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 xml:space="preserve"> specification is comprehensive and up-to-date [1, 2]</w:t>
              </w:r>
            </w:hyperlink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2.2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information in the course specification is comprehensive and up-to-date [1, 2]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hyperlink r:id="rId7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 xml:space="preserve">2.3 he </w:t>
              </w:r>
            </w:hyperlink>
            <w:hyperlink r:id="rId8">
              <w:proofErr w:type="spellStart"/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>programme</w:t>
              </w:r>
              <w:proofErr w:type="spellEnd"/>
            </w:hyperlink>
            <w:hyperlink r:id="rId9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 xml:space="preserve"> and course specifications are communicated and made available to the stakeholders [1, 2]</w:t>
              </w:r>
            </w:hyperlink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hyperlink r:id="rId10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 xml:space="preserve">AUN.3 </w:t>
              </w:r>
            </w:hyperlink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proofErr w:type="spellStart"/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Programme</w:t>
            </w:r>
            <w:proofErr w:type="spellEnd"/>
            <w:hyperlink r:id="rId11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 xml:space="preserve"> Structure and Content</w:t>
              </w:r>
            </w:hyperlink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3.1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curriculum is designed based on constructive alignment with the expected learning outcomes [1]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3.2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contribution made by each course to achieve the expected learning outcomes is clear [2]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3.3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curriculum is logically structured, sequenced, integrated and up-to-date [3, 4, 5, 6]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4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Teaching and Learning Approach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4.1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educational philosophy is well articulated and communicated to all stakeholders [1]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4.2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Teaching and learning activities are constructively aligned to the achievement of the expected learning outcomes [2, 3, 4, 5]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4.3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Teaching and learning activities enhance life-long learning [6]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AUN.5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Student Assessment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5.1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student assessment is constructively aligned to the achievement of the expected learning outcomes [1, 2]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5.2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student assessments including timelines, methods, regulations, weight distribution, rubrics and grading are explicit and communicated to students [4, 5]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5.3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Methods including assessment rubrics and marking schemes are used to ensure validity, reliability and fairness of student assessment [6, 7]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5.4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Feedback of student assessment is timely and helps to improve learning [3]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5.5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Students have ready access to appeal procedure [8]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6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Academic Staff Quality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6.1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Academic staff planning (considering succession, promotion, re-deployment, termination, and retirement) is carried out to </w:t>
            </w:r>
            <w:hyperlink r:id="rId12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>fulfil</w:t>
              </w:r>
            </w:hyperlink>
            <w:hyperlink r:id="rId13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 xml:space="preserve"> the needs for education, research and service [1]</w:t>
              </w:r>
            </w:hyperlink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6.2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Staff-to-student ratio and workload are measured and monitored to improve the quality of education, research and service [2]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6.3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Recruitment and selection criteria including ethics and academic freedom for appointment, deployment and promotion are determined and communicated [4, 5, 6, 7]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6.4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Competences of academic staff are identified and evaluated [3]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6.5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Training and developmental needs of academic staff are identified and activities are implemented to fulfil them [8]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6.6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Performance management including rewards and recognition is implemented to motivate and support education, research and service [9]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6.7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types and quantity of research activities by academic staff are established, monitored and benchmarked for improvement [10]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7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Support Staff Quality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7.1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Support staff planning (at the library, laboratory, IT facility and student services) is carried out to </w:t>
            </w:r>
            <w:hyperlink r:id="rId14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>fulfil</w:t>
              </w:r>
            </w:hyperlink>
            <w:hyperlink r:id="rId15">
              <w:r w:rsidRPr="00C84E00">
                <w:rPr>
                  <w:rStyle w:val="InternetLink"/>
                  <w:rFonts w:ascii="TH Niramit AS" w:eastAsia="Times New Roman" w:hAnsi="TH Niramit AS" w:cs="TH Niramit AS"/>
                  <w:b/>
                  <w:bCs/>
                  <w:color w:val="3E3530"/>
                  <w:sz w:val="32"/>
                  <w:szCs w:val="32"/>
                  <w:u w:val="none"/>
                </w:rPr>
                <w:t xml:space="preserve"> the needs for education, research and service [1]</w:t>
              </w:r>
            </w:hyperlink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7.2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Recruitment and selection criteria for appointment, deployment and promotion are determined and communicated [2]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7.3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Competences of support staff are identified and evaluated [3]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7.4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Training and developmental needs of support staff are identified and activities are implemented to fulfil them [4]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7.5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Performance management including rewards and recognition is implemented to motivate and support education, research and service [5]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8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Student Quality and Support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8.1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student intake policy and admission criteria are defined, communicated, published, and up-to-date [1]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8.2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methods and criteria for the selection of students are determined and evaluated [2]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8.3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There is an adequate monitoring system for student progress, academic performance, and workload [3]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8.4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Academic advice, co-curricular activities, student competition, and other student support services are available to improve learning and employability [4]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8.5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physical, social and psychological environment is conducive for education and research as well as personal well-being [5]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9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Facilities and Infrastructure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9.1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teaching and learning facilities and equipment (lecture halls, classrooms, project rooms, etc.) are adequate and updated to support education and research [1]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9.2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library and its resources are adequate and updated to support education and research [3, 4]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9.3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laboratories and equipment are adequate and updated to support education and research [1, 2]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9.4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IT facilities including e-learning infrastructure are adequate and updated to support education and research [1, 5, 6]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9.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5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standards for environment, health and safety; and access for people with special needs are defined and implemented [7]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10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Quality Enhancement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10.1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Stakeholders’ needs and feedback serve as input to curriculum design and development [1]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10.2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curriculum design and development process is established and subjected to evaluation and enhancement [2]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10.3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teaching and learning processes and student assessment are continuously reviewed and evaluated to ensure their relevance and alignment [3]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10.4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Research output is used to enhance teaching and learning [4]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10.5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Quality of support services and facilities (at the library, laboratory, IT facility and student services) is subjected to evaluation and enhancement [5]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10.6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stakeholder’s feedback mechanisms are systematic and subjected to evaluation and enhancement [6]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11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Output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11.1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pass rates and dropout rates are established, monitored and benchmarked for improvement [1]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11.2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average time to graduate is established, monitored and benchmarked for improvement [1]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11.3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Employability of graduates is established, monitored and benchmarked for improvement [1]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11.4 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The types and quantity of research activities by students are established, monitored and benchmarked for improvement [2]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>11.5</w:t>
            </w:r>
            <w:r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</w:t>
            </w:r>
            <w:r w:rsidRPr="00C84E00">
              <w:rPr>
                <w:rStyle w:val="InternetLink"/>
                <w:rFonts w:ascii="TH Niramit AS" w:eastAsia="Times New Roman" w:hAnsi="TH Niramit AS" w:cs="TH Niramit AS"/>
                <w:b/>
                <w:bCs/>
                <w:color w:val="3E3530"/>
                <w:sz w:val="32"/>
                <w:szCs w:val="32"/>
                <w:u w:val="none"/>
              </w:rPr>
              <w:t xml:space="preserve"> The satisfaction levels of stakeholders are established, monitored and benchmarked for improvement [3]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84E00" w:rsidRPr="00C84E00" w:rsidTr="006D692B">
        <w:trPr>
          <w:trHeight w:val="340"/>
        </w:trPr>
        <w:tc>
          <w:tcPr>
            <w:tcW w:w="8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00" w:rsidRPr="00C84E00" w:rsidRDefault="00C84E00" w:rsidP="00C84E00">
            <w:pPr>
              <w:spacing w:after="0" w:line="240" w:lineRule="auto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C84E00">
              <w:rPr>
                <w:rFonts w:ascii="TH Niramit AS" w:eastAsia="Times New Roman" w:hAnsi="TH Niramit AS" w:cs="TH Niramit AS"/>
                <w:b/>
                <w:bCs/>
                <w:color w:val="222222"/>
                <w:sz w:val="32"/>
                <w:szCs w:val="32"/>
              </w:rPr>
              <w:t>Overall Verdict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E00" w:rsidRPr="00C84E00" w:rsidRDefault="00C84E00" w:rsidP="00C84E0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84E00" w:rsidRPr="00C84E00" w:rsidRDefault="00C84E00">
      <w:pPr>
        <w:rPr>
          <w:rFonts w:ascii="TH Niramit AS" w:hAnsi="TH Niramit AS" w:cs="TH Niramit AS"/>
          <w:sz w:val="32"/>
          <w:szCs w:val="32"/>
        </w:rPr>
      </w:pPr>
    </w:p>
    <w:sectPr w:rsidR="00C84E00" w:rsidRPr="00C84E00" w:rsidSect="006D692B">
      <w:pgSz w:w="11906" w:h="16838" w:code="9"/>
      <w:pgMar w:top="1135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00"/>
    <w:rsid w:val="0019718E"/>
    <w:rsid w:val="003B3554"/>
    <w:rsid w:val="0045524F"/>
    <w:rsid w:val="006D692B"/>
    <w:rsid w:val="008A13CA"/>
    <w:rsid w:val="009231E3"/>
    <w:rsid w:val="00B0506D"/>
    <w:rsid w:val="00B33C39"/>
    <w:rsid w:val="00B422F6"/>
    <w:rsid w:val="00C84E00"/>
    <w:rsid w:val="00DB15F9"/>
    <w:rsid w:val="00E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13AE"/>
  <w15:chartTrackingRefBased/>
  <w15:docId w15:val="{57AA12D2-7BFA-446B-B9A7-61609B47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Times New Roman" w:hAnsi="TH Niramit AS" w:cs="TH Niramit AS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4E00"/>
    <w:pPr>
      <w:suppressAutoHyphens/>
      <w:spacing w:line="254" w:lineRule="auto"/>
    </w:pPr>
    <w:rPr>
      <w:rFonts w:ascii="Calibri" w:eastAsia="SimSun" w:hAnsi="Calibri" w:cs="Calibri"/>
      <w:color w:val="00000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84E00"/>
    <w:rPr>
      <w:color w:val="000080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r.tsu.ac.th/qareportcoursepub/indicatorlist.jsp?action=detail&amp;id=MTA0Mjg=&amp;idm=NDMy&amp;eid=MzU=" TargetMode="External"/><Relationship Id="rId13" Type="http://schemas.openxmlformats.org/officeDocument/2006/relationships/hyperlink" Target="https://esar.tsu.ac.th/qareportcoursepub/indicatorlist.jsp?action=detail&amp;id=MTA0NDE=&amp;idm=NDQ0&amp;eid=MzU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ar.tsu.ac.th/qareportcoursepub/indicatorlist.jsp?action=detail&amp;id=MTA0Mjg=&amp;idm=NDMy&amp;eid=MzU=" TargetMode="External"/><Relationship Id="rId12" Type="http://schemas.openxmlformats.org/officeDocument/2006/relationships/hyperlink" Target="https://esar.tsu.ac.th/qareportcoursepub/indicatorlist.jsp?action=detail&amp;id=MTA0NDE=&amp;idm=NDQ0&amp;eid=MzU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ar.tsu.ac.th/qareportcoursepub/indicatorlist.jsp?action=detail&amp;id=MTA0MjM=&amp;idm=NDMw&amp;eid=MzU=" TargetMode="External"/><Relationship Id="rId11" Type="http://schemas.openxmlformats.org/officeDocument/2006/relationships/hyperlink" Target="https://esar.tsu.ac.th/qareportcoursepub/indicatorlist.jsp?action=detail&amp;id=MTA0MjU=&amp;idm=MzE0&amp;eid=MzU=" TargetMode="External"/><Relationship Id="rId5" Type="http://schemas.openxmlformats.org/officeDocument/2006/relationships/hyperlink" Target="https://esar.tsu.ac.th/qareportcoursepub/indicatorlist.jsp?action=detail&amp;id=MTA0MjM=&amp;idm=NDMw&amp;eid=MzU=" TargetMode="External"/><Relationship Id="rId15" Type="http://schemas.openxmlformats.org/officeDocument/2006/relationships/hyperlink" Target="https://esar.tsu.ac.th/qareportcoursepub/indicatorlist.jsp?action=detail&amp;id=MTA0NDk=&amp;idm=NDUx&amp;eid=MzU=" TargetMode="External"/><Relationship Id="rId10" Type="http://schemas.openxmlformats.org/officeDocument/2006/relationships/hyperlink" Target="https://esar.tsu.ac.th/qareportcoursepub/indicatorlist.jsp?action=detail&amp;id=MTA0MjU=&amp;idm=MzE0&amp;eid=MzU=" TargetMode="External"/><Relationship Id="rId4" Type="http://schemas.openxmlformats.org/officeDocument/2006/relationships/hyperlink" Target="https://esar.tsu.ac.th/qareportcoursepub/indicatorlist.jsp?action=detail&amp;id=MTA0MjI=&amp;idm=MzA5&amp;eid=MzU=" TargetMode="External"/><Relationship Id="rId9" Type="http://schemas.openxmlformats.org/officeDocument/2006/relationships/hyperlink" Target="https://esar.tsu.ac.th/qareportcoursepub/indicatorlist.jsp?action=detail&amp;id=MTA0Mjg=&amp;idm=NDMy&amp;eid=MzU=" TargetMode="External"/><Relationship Id="rId14" Type="http://schemas.openxmlformats.org/officeDocument/2006/relationships/hyperlink" Target="https://esar.tsu.ac.th/qareportcoursepub/indicatorlist.jsp?action=detail&amp;id=MTA0NDk=&amp;idm=NDUx&amp;eid=MzU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3</cp:revision>
  <dcterms:created xsi:type="dcterms:W3CDTF">2019-05-15T08:39:00Z</dcterms:created>
  <dcterms:modified xsi:type="dcterms:W3CDTF">2019-05-15T08:57:00Z</dcterms:modified>
</cp:coreProperties>
</file>