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580" w:rsidRPr="0086339C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: ตัวชี้วัดการดำเนินงานตามเป้าหมายที่ส่วนงานกำหนด</w:t>
      </w:r>
    </w:p>
    <w:p w:rsidR="008F1580" w:rsidRPr="008F1580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1580" w:rsidRPr="008F1580" w:rsidRDefault="008F1580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764FBA">
        <w:rPr>
          <w:rFonts w:ascii="TH SarabunPSK" w:hAnsi="TH SarabunPSK" w:cs="TH SarabunPSK" w:hint="cs"/>
          <w:b/>
          <w:bCs/>
          <w:sz w:val="32"/>
          <w:szCs w:val="32"/>
          <w:cs/>
        </w:rPr>
        <w:t>กองวิเทศสัมพันธ์</w:t>
      </w:r>
    </w:p>
    <w:p w:rsidR="008F1580" w:rsidRPr="00044518" w:rsidRDefault="008F1580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ตัวชี้วัดการดำเนินงานตามเป้าหมายที่ส่วนงานกำหนด</w:t>
      </w:r>
    </w:p>
    <w:p w:rsidR="00886712" w:rsidRPr="00886712" w:rsidRDefault="00886712" w:rsidP="003E7A1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4880"/>
        <w:gridCol w:w="2694"/>
      </w:tblGrid>
      <w:tr w:rsidR="008F1580" w:rsidRPr="008E7859" w:rsidTr="0031322B">
        <w:trPr>
          <w:trHeight w:val="342"/>
          <w:tblHeader/>
        </w:trPr>
        <w:tc>
          <w:tcPr>
            <w:tcW w:w="1352" w:type="dxa"/>
          </w:tcPr>
          <w:p w:rsidR="008F1580" w:rsidRPr="008E7859" w:rsidRDefault="008F1580" w:rsidP="00F161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4880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กระบวนการดำเนินงานเพื่อการประกันคุณภาพภายใน</w:t>
            </w:r>
          </w:p>
        </w:tc>
        <w:tc>
          <w:tcPr>
            <w:tcW w:w="2694" w:type="dxa"/>
          </w:tcPr>
          <w:p w:rsidR="008F1580" w:rsidRPr="008E7859" w:rsidRDefault="008F1580" w:rsidP="003E7A1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</w:tr>
      <w:tr w:rsidR="00764FBA" w:rsidRPr="008E7859" w:rsidTr="0031322B">
        <w:trPr>
          <w:trHeight w:val="1856"/>
        </w:trPr>
        <w:tc>
          <w:tcPr>
            <w:tcW w:w="1352" w:type="dxa"/>
          </w:tcPr>
          <w:p w:rsidR="00764FBA" w:rsidRPr="008E7859" w:rsidRDefault="00764FBA" w:rsidP="00764FBA">
            <w:pPr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9. กองวิเทศสัมพันธ์</w:t>
            </w:r>
          </w:p>
        </w:tc>
        <w:tc>
          <w:tcPr>
            <w:tcW w:w="4880" w:type="dxa"/>
          </w:tcPr>
          <w:p w:rsidR="00764FBA" w:rsidRPr="008E7859" w:rsidRDefault="00764FBA" w:rsidP="00764FB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 xml:space="preserve">9.1. กระบวนการกำกับ ติดตาม และประเมินผลการให้คำปรึกษา และประสานงานในการเข้าร่วมโครงการแลกเปลี่ยน การฝึกอบรม การวิจัย และการศึกษาในต่างประเทศ แก่บุคลากรและนักศึกษา และนำผลการประเมินมาพัฒนา/ปรับปรุงการกำกับ ติดตามและพัฒนากระบวนการ (ปีงบฯ </w:t>
            </w:r>
            <w:r w:rsidRPr="008E7859">
              <w:rPr>
                <w:rFonts w:ascii="TH SarabunPSK" w:hAnsi="TH SarabunPSK" w:cs="TH SarabunPSK"/>
                <w:sz w:val="28"/>
              </w:rPr>
              <w:t>2564</w:t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4" w:type="dxa"/>
          </w:tcPr>
          <w:p w:rsidR="00764FBA" w:rsidRPr="008E7859" w:rsidRDefault="00764FBA" w:rsidP="00764FB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E7859">
              <w:rPr>
                <w:rFonts w:ascii="TH SarabunPSK" w:hAnsi="TH SarabunPSK" w:cs="TH SarabunPSK"/>
                <w:sz w:val="28"/>
                <w:cs/>
              </w:rPr>
              <w:t>ค่าเฉลี่ยของผลประเมินการให้</w:t>
            </w:r>
            <w:r w:rsidRPr="008E7859">
              <w:rPr>
                <w:rFonts w:ascii="TH SarabunPSK" w:hAnsi="TH SarabunPSK" w:cs="TH SarabunPSK"/>
                <w:sz w:val="28"/>
              </w:rPr>
              <w:br/>
            </w:r>
            <w:r w:rsidRPr="008E7859">
              <w:rPr>
                <w:rFonts w:ascii="TH SarabunPSK" w:hAnsi="TH SarabunPSK" w:cs="TH SarabunPSK"/>
                <w:sz w:val="28"/>
                <w:cs/>
              </w:rPr>
              <w:t>คำปรึกษาและประสานงานฯ เป้าหมาย 4.00</w:t>
            </w:r>
          </w:p>
          <w:p w:rsidR="00764FBA" w:rsidRPr="008E7859" w:rsidRDefault="00764FBA" w:rsidP="00764FB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1322B" w:rsidRPr="008E7859" w:rsidTr="0031322B">
        <w:trPr>
          <w:trHeight w:val="1856"/>
        </w:trPr>
        <w:tc>
          <w:tcPr>
            <w:tcW w:w="1352" w:type="dxa"/>
          </w:tcPr>
          <w:p w:rsidR="0031322B" w:rsidRPr="008E7859" w:rsidRDefault="0031322B" w:rsidP="00764FB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880" w:type="dxa"/>
          </w:tcPr>
          <w:p w:rsidR="0031322B" w:rsidRPr="0031322B" w:rsidRDefault="0031322B" w:rsidP="00764FB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1322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9.2. กระบวนการกำกับ ติดตาม และประเมินผลการเพิ่มจำนวนเครือข่ายระดับนานาชาติ (การลงนามความร่วมมือทางวิชาการ) และผลการดำเนินงานของการลงนามความร่วมมือทางวิชาการ (กิจกรรมตามความร่วมมือทางวิชาการ) และนำผลการประเมินมาพัฒนา/ปรับปรุงการกำกับ ติดตามและพัฒนากระบวนการ (ปีงบประมาณ </w:t>
            </w:r>
            <w:r w:rsidRPr="0031322B">
              <w:rPr>
                <w:rFonts w:ascii="TH SarabunPSK" w:hAnsi="TH SarabunPSK" w:cs="TH SarabunPSK"/>
                <w:color w:val="000000"/>
                <w:sz w:val="28"/>
              </w:rPr>
              <w:t>2564</w:t>
            </w:r>
            <w:r w:rsidRPr="0031322B">
              <w:rPr>
                <w:rFonts w:ascii="TH SarabunPSK" w:hAnsi="TH SarabunPSK" w:cs="TH SarabunPSK" w:hint="cs"/>
                <w:color w:val="000000"/>
                <w:sz w:val="28"/>
                <w:cs/>
              </w:rPr>
              <w:t>)</w:t>
            </w:r>
          </w:p>
        </w:tc>
        <w:tc>
          <w:tcPr>
            <w:tcW w:w="2694" w:type="dxa"/>
          </w:tcPr>
          <w:p w:rsidR="0031322B" w:rsidRPr="0031322B" w:rsidRDefault="0031322B" w:rsidP="00764FB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1322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ค่าเฉลี่ยของผลประเมินความพึงพอใจของการสนับสนุนการลงนามความร่วมมือทางวิชาการ และค่าเฉลี่ยของผลประเมินความพึงพอใจของการสนับสนุนกิจกรรมตามความร่วมมือทางวิชาการ </w:t>
            </w:r>
            <w:r w:rsidRPr="0031322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เป้าหมาย 4.00</w:t>
            </w:r>
          </w:p>
        </w:tc>
      </w:tr>
    </w:tbl>
    <w:p w:rsidR="00F16159" w:rsidRDefault="00F16159" w:rsidP="00F16159">
      <w:pPr>
        <w:spacing w:after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627B2" w:rsidRPr="00044518" w:rsidRDefault="003E7A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4451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รายงานผลการดำเนินงาน</w:t>
      </w:r>
    </w:p>
    <w:p w:rsidR="003E7A12" w:rsidRDefault="003E7A12" w:rsidP="00F161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1) </w:t>
      </w:r>
      <w:r w:rsidR="0031322B" w:rsidRPr="00313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กระบวนการกำกับ ติดตาม และประเมินผลการให้คำปรึกษา และประสานงานในการเข้าร่วมโครงการแลกเปลี่ยน การฝึกอบรม การวิจัย และการศึกษาในต่างประเทศ แก่บุคลากรและนักศึกษา และนำผลการประเมินมาพัฒนา/ปรับปรุงการกำกับ ติดตามและพัฒนากระบวนการ</w:t>
      </w:r>
    </w:p>
    <w:p w:rsidR="003E7A12" w:rsidRPr="00863635" w:rsidRDefault="003E7A12" w:rsidP="003E7A1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.</w:t>
      </w: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63635" w:rsidRPr="00863635">
        <w:rPr>
          <w:rFonts w:ascii="TH SarabunPSK" w:hAnsi="TH SarabunPSK" w:cs="TH SarabunPSK"/>
          <w:sz w:val="32"/>
          <w:szCs w:val="32"/>
          <w:cs/>
        </w:rPr>
        <w:t>รายงาน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กระบวนการดำเนินงาน การประเมินผลกระบวนการ การวิเคราะห์กระบวนการ/ผลการประเมิน </w:t>
      </w:r>
      <w:r w:rsidR="00863635" w:rsidRPr="00863635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</w:t>
      </w:r>
      <w:r w:rsidR="00863635" w:rsidRPr="00863635">
        <w:rPr>
          <w:rFonts w:ascii="TH SarabunPSK" w:hAnsi="TH SarabunPSK" w:cs="TH SarabunPSK"/>
          <w:color w:val="000000"/>
          <w:sz w:val="32"/>
          <w:szCs w:val="32"/>
          <w:cs/>
        </w:rPr>
        <w:t>วางแผนหรือปรับปรุงการดำเนินงาน</w:t>
      </w:r>
    </w:p>
    <w:p w:rsid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(บรรยาย/อภิปราย/ </w:t>
      </w:r>
      <w:r w:rsidRPr="003E7A12"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</w:t>
      </w:r>
      <w:r w:rsidR="00863635"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รายงานฯ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ตามบริบทของหน่วยงาน)</w:t>
      </w:r>
    </w:p>
    <w:p w:rsidR="003E7A12" w:rsidRPr="003E7A12" w:rsidRDefault="003E7A12" w:rsidP="003E7A12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7A12" w:rsidRDefault="003E7A12" w:rsidP="003E7A12">
      <w:pPr>
        <w:spacing w:after="0"/>
      </w:pPr>
    </w:p>
    <w:p w:rsidR="00F16159" w:rsidRDefault="00F16159" w:rsidP="003E7A12">
      <w:pPr>
        <w:spacing w:after="0"/>
      </w:pPr>
    </w:p>
    <w:p w:rsidR="0031322B" w:rsidRDefault="0031322B" w:rsidP="003E7A12">
      <w:pPr>
        <w:spacing w:after="0"/>
      </w:pPr>
    </w:p>
    <w:p w:rsidR="0031322B" w:rsidRDefault="0031322B" w:rsidP="003E7A12">
      <w:pPr>
        <w:spacing w:after="0"/>
      </w:pPr>
    </w:p>
    <w:p w:rsidR="0031322B" w:rsidRDefault="0031322B" w:rsidP="003E7A12">
      <w:pPr>
        <w:spacing w:after="0"/>
        <w:rPr>
          <w:rFonts w:hint="cs"/>
        </w:rPr>
      </w:pPr>
    </w:p>
    <w:p w:rsidR="00B955A2" w:rsidRPr="00863635" w:rsidRDefault="00B955A2" w:rsidP="00B955A2">
      <w:pPr>
        <w:spacing w:after="0"/>
        <w:rPr>
          <w:rFonts w:ascii="TH SarabunPSK" w:hAnsi="TH SarabunPSK" w:cs="TH SarabunPSK"/>
          <w:sz w:val="32"/>
          <w:szCs w:val="32"/>
        </w:rPr>
      </w:pPr>
      <w:r w:rsidRPr="00863635">
        <w:rPr>
          <w:rFonts w:ascii="TH SarabunPSK" w:hAnsi="TH SarabunPSK" w:cs="TH SarabunPSK" w:hint="cs"/>
          <w:sz w:val="32"/>
          <w:szCs w:val="32"/>
          <w:cs/>
        </w:rPr>
        <w:lastRenderedPageBreak/>
        <w:t>1</w:t>
      </w:r>
      <w:r w:rsidR="00863635" w:rsidRPr="00863635">
        <w:rPr>
          <w:rFonts w:ascii="TH SarabunPSK" w:hAnsi="TH SarabunPSK" w:cs="TH SarabunPSK" w:hint="cs"/>
          <w:sz w:val="32"/>
          <w:szCs w:val="32"/>
          <w:cs/>
        </w:rPr>
        <w:t>.2</w:t>
      </w:r>
      <w:r w:rsidRPr="00863635">
        <w:rPr>
          <w:rFonts w:ascii="TH SarabunPSK" w:hAnsi="TH SarabunPSK" w:cs="TH SarabunPSK" w:hint="cs"/>
          <w:sz w:val="32"/>
          <w:szCs w:val="32"/>
          <w:cs/>
        </w:rPr>
        <w:t>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31322B" w:rsidTr="0031322B">
        <w:trPr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B" w:rsidRDefault="0031322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B" w:rsidRDefault="0031322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31322B" w:rsidTr="0031322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2B" w:rsidRDefault="0031322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B" w:rsidRDefault="0031322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ค่าเฉลี่ยของผลประเมินการให้คำปรึกษาและประสานงานฯ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4.00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ให้ใช้วิธีการเทียบบัญญัติไตรยางค์ ดังนี้</w:t>
            </w:r>
          </w:p>
          <w:p w:rsidR="0031322B" w:rsidRDefault="0031322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245745</wp:posOffset>
                      </wp:positionV>
                      <wp:extent cx="3189605" cy="0"/>
                      <wp:effectExtent l="0" t="0" r="29845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889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AE0C2" id="Straight Connector 3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05pt,19.35pt" to="303.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ค่าคะแนน = 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ค่าเฉลี่ยของผลประเมินการให้คำปรึกษาและประสานงานฯ </w:t>
            </w:r>
            <w:r>
              <w:rPr>
                <w:rFonts w:ascii="TH SarabunPSK" w:hAnsi="TH SarabunPSK" w:cs="TH SarabunPSK"/>
                <w:sz w:val="30"/>
                <w:szCs w:val="30"/>
              </w:rPr>
              <w:t>x 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31322B" w:rsidRDefault="0031322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</w:tr>
      <w:tr w:rsidR="0031322B" w:rsidTr="0031322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2B" w:rsidRDefault="0031322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B" w:rsidRDefault="0031322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ค่าเฉลี่ยของผลประเมินการให้คำปรึกษาและประสานงานฯ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เท่ากับ 4.00  </w:t>
            </w:r>
          </w:p>
        </w:tc>
      </w:tr>
      <w:tr w:rsidR="0031322B" w:rsidTr="0031322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2B" w:rsidRDefault="0031322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B" w:rsidRDefault="0031322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ค่าเฉลี่ยของผลประเมินการให้คำปรึกษาและประสานงานฯ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ตั้งแต่ 4.20 ขึ้นไป </w:t>
            </w:r>
          </w:p>
        </w:tc>
      </w:tr>
      <w:tr w:rsidR="0031322B" w:rsidTr="0031322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2B" w:rsidRDefault="0031322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B" w:rsidRDefault="0031322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ค่าเฉลี่ยของผลประเมินการให้คำปรึกษาและประสานงานฯ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4.20 ขึ้นไป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B955A2" w:rsidRPr="0031322B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B955A2" w:rsidRPr="00044518" w:rsidRDefault="00B955A2" w:rsidP="00B955A2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B955A2" w:rsidRDefault="00B955A2" w:rsidP="00B955A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55A2" w:rsidRDefault="00B955A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1322B" w:rsidRDefault="0031322B" w:rsidP="003132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313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กระบวนการกำกับ ติดตาม และประเมินผลการเพิ่มจำนวนเครือข่ายระดับนานาชาติ (การลงนามความร่วมมือทางวิชาการ) และผลการดำเนินงานของการลงนามความร่วมมือทางวิชาการ (กิจกรรมตามความร่วมมือทางวิชาการ) และนำผลการประเมินมาพัฒนา/ปรับปรุงการกำกับ ติดตามและพัฒนากระบวนการ (ปีงบประมาณ </w:t>
      </w:r>
      <w:r w:rsidRPr="0031322B">
        <w:rPr>
          <w:rFonts w:ascii="TH SarabunPSK" w:hAnsi="TH SarabunPSK" w:cs="TH SarabunPSK"/>
          <w:b/>
          <w:bCs/>
          <w:color w:val="000000"/>
          <w:sz w:val="32"/>
          <w:szCs w:val="32"/>
        </w:rPr>
        <w:t>2564</w:t>
      </w:r>
      <w:r w:rsidRPr="0031322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:rsidR="0031322B" w:rsidRPr="00863635" w:rsidRDefault="0031322B" w:rsidP="0031322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.</w:t>
      </w:r>
      <w:r w:rsidRPr="00863635">
        <w:rPr>
          <w:rFonts w:ascii="TH SarabunPSK" w:hAnsi="TH SarabunPSK" w:cs="TH SarabunPSK"/>
          <w:sz w:val="32"/>
          <w:szCs w:val="32"/>
        </w:rPr>
        <w:t>1</w:t>
      </w:r>
      <w:r w:rsidRPr="00863635">
        <w:rPr>
          <w:rFonts w:ascii="TH SarabunPSK" w:hAnsi="TH SarabunPSK" w:cs="TH SarabunPSK"/>
          <w:sz w:val="32"/>
          <w:szCs w:val="32"/>
          <w:cs/>
        </w:rPr>
        <w:t>) รายงาน</w:t>
      </w:r>
      <w:r w:rsidRPr="0086363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กระบวนการดำเนินงาน การประเมินผลกระบวนการ การวิเคราะห์กระบวนการ/ผลการประเมิน </w:t>
      </w:r>
      <w:r w:rsidRPr="00863635">
        <w:rPr>
          <w:rFonts w:ascii="TH SarabunPSK" w:hAnsi="TH SarabunPSK" w:cs="TH SarabunPSK" w:hint="cs"/>
          <w:color w:val="000000"/>
          <w:sz w:val="32"/>
          <w:szCs w:val="32"/>
          <w:cs/>
        </w:rPr>
        <w:t>และการ</w:t>
      </w:r>
      <w:r w:rsidRPr="00863635">
        <w:rPr>
          <w:rFonts w:ascii="TH SarabunPSK" w:hAnsi="TH SarabunPSK" w:cs="TH SarabunPSK"/>
          <w:color w:val="000000"/>
          <w:sz w:val="32"/>
          <w:szCs w:val="32"/>
          <w:cs/>
        </w:rPr>
        <w:t>วางแผนหรือปรับปรุงการดำเนินงาน</w:t>
      </w:r>
    </w:p>
    <w:p w:rsidR="0031322B" w:rsidRDefault="0031322B" w:rsidP="0031322B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(บรรยาย/อภิปราย/ </w:t>
      </w:r>
      <w:r w:rsidRPr="003E7A12">
        <w:rPr>
          <w:rFonts w:ascii="TH SarabunPSK" w:hAnsi="TH SarabunPSK" w:cs="TH SarabunPSK"/>
          <w:color w:val="FF0000"/>
          <w:sz w:val="32"/>
          <w:szCs w:val="32"/>
        </w:rPr>
        <w:t xml:space="preserve">Flow chart 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>หรือแนวทางอื่นๆ เพื่อแสดง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รายงานฯ</w:t>
      </w:r>
      <w:r w:rsidRPr="003E7A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ตามบริบทของหน่วยงาน)</w:t>
      </w:r>
    </w:p>
    <w:p w:rsidR="0031322B" w:rsidRPr="003E7A12" w:rsidRDefault="0031322B" w:rsidP="0031322B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322B" w:rsidRDefault="0031322B" w:rsidP="0031322B">
      <w:pPr>
        <w:spacing w:after="0"/>
      </w:pPr>
    </w:p>
    <w:p w:rsidR="0031322B" w:rsidRDefault="0031322B" w:rsidP="0031322B">
      <w:pPr>
        <w:spacing w:after="0"/>
      </w:pPr>
    </w:p>
    <w:p w:rsidR="0031322B" w:rsidRDefault="0031322B" w:rsidP="0031322B">
      <w:pPr>
        <w:spacing w:after="0"/>
      </w:pPr>
    </w:p>
    <w:p w:rsidR="0031322B" w:rsidRDefault="0031322B" w:rsidP="0031322B">
      <w:pPr>
        <w:spacing w:after="0"/>
      </w:pPr>
    </w:p>
    <w:p w:rsidR="0031322B" w:rsidRDefault="0031322B" w:rsidP="0031322B">
      <w:pPr>
        <w:spacing w:after="0"/>
        <w:rPr>
          <w:rFonts w:hint="cs"/>
        </w:rPr>
      </w:pPr>
    </w:p>
    <w:p w:rsidR="0031322B" w:rsidRPr="00863635" w:rsidRDefault="0031322B" w:rsidP="0031322B">
      <w:pPr>
        <w:spacing w:after="0"/>
        <w:rPr>
          <w:rFonts w:ascii="TH SarabunPSK" w:hAnsi="TH SarabunPSK" w:cs="TH SarabunPSK"/>
          <w:sz w:val="32"/>
          <w:szCs w:val="32"/>
        </w:rPr>
      </w:pPr>
      <w:r w:rsidRPr="00863635">
        <w:rPr>
          <w:rFonts w:ascii="TH SarabunPSK" w:hAnsi="TH SarabunPSK" w:cs="TH SarabunPSK" w:hint="cs"/>
          <w:sz w:val="32"/>
          <w:szCs w:val="32"/>
          <w:cs/>
        </w:rPr>
        <w:lastRenderedPageBreak/>
        <w:t>1.2) การคิดค่าคะแนน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31322B" w:rsidTr="0031322B">
        <w:trPr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B" w:rsidRDefault="0031322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B" w:rsidRDefault="0031322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31322B" w:rsidTr="0031322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2B" w:rsidRDefault="0031322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99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B" w:rsidRDefault="0031322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หาก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ค่าเฉลี่ยของผลประเมินความพึงพอใจฯ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น้อยกว่า 4.00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ให้ใช้วิธีการเทียบบัญญัติไตรยางค์ ดังนี้</w:t>
            </w:r>
          </w:p>
          <w:p w:rsidR="0031322B" w:rsidRDefault="0031322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245745</wp:posOffset>
                      </wp:positionV>
                      <wp:extent cx="2266950" cy="0"/>
                      <wp:effectExtent l="0" t="0" r="19050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82E85B" id="Straight Connector 3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95pt,19.35pt" to="324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ค่าคะแนน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 xml:space="preserve">= </w:t>
            </w:r>
            <w:r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ab/>
              <w:t xml:space="preserve">ค่าเฉลี่ยของผลประเมินความพึงพอใจฯ </w:t>
            </w:r>
            <w:r>
              <w:rPr>
                <w:rFonts w:ascii="TH SarabunPSK" w:hAnsi="TH SarabunPSK" w:cs="TH SarabunPSK"/>
                <w:sz w:val="30"/>
                <w:szCs w:val="30"/>
              </w:rPr>
              <w:t>x 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  <w:p w:rsidR="0031322B" w:rsidRDefault="0031322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</w:tr>
      <w:tr w:rsidR="0031322B" w:rsidTr="0031322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2B" w:rsidRDefault="0031322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B" w:rsidRDefault="0031322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ค่าเฉลี่ยของผลประเมินความพึงพอใจฯ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เท่ากับ 4.00  </w:t>
            </w:r>
          </w:p>
        </w:tc>
      </w:tr>
      <w:tr w:rsidR="0031322B" w:rsidTr="0031322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2B" w:rsidRDefault="0031322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B" w:rsidRDefault="0031322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ค่าเฉลี่ยของผลประเมินความพึงพอใจฯ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ตั้งแต่ 4.20 ขึ้นไป </w:t>
            </w:r>
          </w:p>
        </w:tc>
      </w:tr>
      <w:tr w:rsidR="0031322B" w:rsidTr="0031322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2B" w:rsidRDefault="0031322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2B" w:rsidRDefault="0031322B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ค่าเฉลี่ยของผลประเมินความพึงพอใจฯ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ตั้งแต่ 4.20 ขึ้นไป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และมีการรายงาน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กระบวนการดำเนินงาน การประเมินผลกระบวนการ และมีการวิเคราะห์กระบวนการ/ผลการประเมิน โดยนำไปใช้วางแผนหรือปรับปรุงการดำเนินงานในครั้งถัดไปอย่างเป็นระบบ</w:t>
            </w:r>
          </w:p>
        </w:tc>
      </w:tr>
    </w:tbl>
    <w:p w:rsidR="0031322B" w:rsidRPr="0031322B" w:rsidRDefault="0031322B" w:rsidP="0031322B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31322B" w:rsidRPr="00044518" w:rsidRDefault="0031322B" w:rsidP="0031322B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044518">
        <w:rPr>
          <w:rFonts w:ascii="TH SarabunPSK" w:hAnsi="TH SarabunPSK" w:cs="TH SarabunPSK" w:hint="cs"/>
          <w:color w:val="FF0000"/>
          <w:sz w:val="32"/>
          <w:szCs w:val="32"/>
          <w:cs/>
        </w:rPr>
        <w:t>(แสดงวิธีการคิดค่าคะแนนตามเงื่อนไขในตาราง)</w:t>
      </w:r>
    </w:p>
    <w:p w:rsidR="0031322B" w:rsidRDefault="0031322B" w:rsidP="003132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322B" w:rsidRPr="0031322B" w:rsidRDefault="0031322B" w:rsidP="003E7A12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86712" w:rsidRPr="007E0FED" w:rsidRDefault="00886712" w:rsidP="003E7A12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886712" w:rsidTr="0031322B">
        <w:tc>
          <w:tcPr>
            <w:tcW w:w="7225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1791" w:type="dxa"/>
          </w:tcPr>
          <w:p w:rsidR="00886712" w:rsidRDefault="00886712" w:rsidP="003E7A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886712" w:rsidTr="0031322B">
        <w:tc>
          <w:tcPr>
            <w:tcW w:w="7225" w:type="dxa"/>
            <w:vAlign w:val="center"/>
          </w:tcPr>
          <w:p w:rsidR="00886712" w:rsidRPr="00B955A2" w:rsidRDefault="00D76788" w:rsidP="00B955A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</w:t>
            </w:r>
            <w:r w:rsidR="00B955A2" w:rsidRPr="00B955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ผลประเมินตามตารางการคิดค่าคะแนน</w:t>
            </w:r>
          </w:p>
        </w:tc>
        <w:tc>
          <w:tcPr>
            <w:tcW w:w="1791" w:type="dxa"/>
            <w:vAlign w:val="center"/>
          </w:tcPr>
          <w:p w:rsidR="00886712" w:rsidRPr="00B01854" w:rsidRDefault="00B01854" w:rsidP="003E7A1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01854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(ค่าเฉลี่ย)</w:t>
            </w:r>
          </w:p>
        </w:tc>
      </w:tr>
      <w:tr w:rsidR="0031322B" w:rsidTr="0031322B">
        <w:tc>
          <w:tcPr>
            <w:tcW w:w="7225" w:type="dxa"/>
            <w:vAlign w:val="center"/>
          </w:tcPr>
          <w:p w:rsidR="0031322B" w:rsidRPr="0031322B" w:rsidRDefault="0031322B" w:rsidP="003132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32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31322B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ค่าเฉลี่ยของผลประเมินการให้คำปรึกษาและประสานงานในการเข้าร่วมโครงการฯ</w:t>
            </w:r>
          </w:p>
        </w:tc>
        <w:tc>
          <w:tcPr>
            <w:tcW w:w="1791" w:type="dxa"/>
            <w:vAlign w:val="center"/>
          </w:tcPr>
          <w:p w:rsidR="0031322B" w:rsidRPr="00B01854" w:rsidRDefault="0031322B" w:rsidP="0031322B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31322B" w:rsidTr="0031322B">
        <w:tc>
          <w:tcPr>
            <w:tcW w:w="7225" w:type="dxa"/>
            <w:vAlign w:val="center"/>
          </w:tcPr>
          <w:p w:rsidR="0031322B" w:rsidRPr="0031322B" w:rsidRDefault="0031322B" w:rsidP="003132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32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31322B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ค่าเฉลี่ยของผลประเมินความพึงพอใจของการสนับสนุนการลงนามความร่วมมือทางวิชาการ และค่าเฉลี่ยของผลประเมินความพึงพอใจของการสนับสนุนกิจกรรมตามความร่วมมือทางวิชาการ</w:t>
            </w:r>
          </w:p>
        </w:tc>
        <w:tc>
          <w:tcPr>
            <w:tcW w:w="1791" w:type="dxa"/>
            <w:vAlign w:val="center"/>
          </w:tcPr>
          <w:p w:rsidR="0031322B" w:rsidRPr="00B01854" w:rsidRDefault="0031322B" w:rsidP="0031322B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:rsidR="00886712" w:rsidRDefault="00886712" w:rsidP="003E7A12">
      <w:pPr>
        <w:spacing w:after="0"/>
      </w:pPr>
    </w:p>
    <w:p w:rsidR="00886712" w:rsidRPr="008F1580" w:rsidRDefault="00886712" w:rsidP="003E7A12">
      <w:pPr>
        <w:spacing w:after="0"/>
      </w:pPr>
      <w:bookmarkStart w:id="0" w:name="_GoBack"/>
      <w:bookmarkEnd w:id="0"/>
    </w:p>
    <w:sectPr w:rsidR="00886712" w:rsidRPr="008F1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80"/>
    <w:rsid w:val="00044518"/>
    <w:rsid w:val="0031322B"/>
    <w:rsid w:val="003627B2"/>
    <w:rsid w:val="003E7A12"/>
    <w:rsid w:val="005F3ACE"/>
    <w:rsid w:val="00764FBA"/>
    <w:rsid w:val="007779EE"/>
    <w:rsid w:val="00863635"/>
    <w:rsid w:val="00886712"/>
    <w:rsid w:val="008F1580"/>
    <w:rsid w:val="00B01854"/>
    <w:rsid w:val="00B955A2"/>
    <w:rsid w:val="00BF1240"/>
    <w:rsid w:val="00D76788"/>
    <w:rsid w:val="00EA1AF5"/>
    <w:rsid w:val="00F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6F48"/>
  <w15:chartTrackingRefBased/>
  <w15:docId w15:val="{CBDE0837-FD81-4F1C-8221-5ED44828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1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9E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9E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2021-10-19T09:25:00Z</cp:lastPrinted>
  <dcterms:created xsi:type="dcterms:W3CDTF">2021-10-20T07:05:00Z</dcterms:created>
  <dcterms:modified xsi:type="dcterms:W3CDTF">2021-10-20T07:05:00Z</dcterms:modified>
</cp:coreProperties>
</file>