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B8A4" w14:textId="43977BD6" w:rsidR="002E6103" w:rsidRDefault="000D5097" w:rsidP="000D5097">
      <w:pPr>
        <w:jc w:val="center"/>
        <w:rPr>
          <w:sz w:val="28"/>
          <w:szCs w:val="36"/>
          <w:lang w:val="en-US"/>
        </w:rPr>
      </w:pPr>
      <w:r w:rsidRPr="000D5097">
        <w:rPr>
          <w:rFonts w:hint="cs"/>
          <w:sz w:val="28"/>
          <w:szCs w:val="36"/>
          <w:cs/>
          <w:lang w:val="en-US"/>
        </w:rPr>
        <w:t xml:space="preserve">หมวด </w:t>
      </w:r>
      <w:r w:rsidRPr="000D5097">
        <w:rPr>
          <w:sz w:val="28"/>
          <w:szCs w:val="36"/>
          <w:lang w:val="en-US"/>
        </w:rPr>
        <w:t>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4658"/>
        <w:gridCol w:w="1701"/>
        <w:gridCol w:w="1620"/>
        <w:gridCol w:w="1980"/>
        <w:gridCol w:w="2433"/>
      </w:tblGrid>
      <w:tr w:rsidR="003D567B" w:rsidRPr="008E3AFF" w14:paraId="191BD6CC" w14:textId="77777777" w:rsidTr="003D56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E109EA" w14:textId="77777777" w:rsidR="000D5097" w:rsidRPr="008E3AFF" w:rsidRDefault="000D5097" w:rsidP="00254359">
            <w:pPr>
              <w:jc w:val="center"/>
              <w:rPr>
                <w:b/>
                <w:bCs/>
              </w:rPr>
            </w:pPr>
            <w:r w:rsidRPr="008E3AFF">
              <w:rPr>
                <w:b/>
                <w:bCs/>
                <w:cs/>
              </w:rPr>
              <w:t>ข้อคำถามจากเกณฑ์</w:t>
            </w:r>
          </w:p>
        </w:tc>
        <w:tc>
          <w:tcPr>
            <w:tcW w:w="0" w:type="auto"/>
            <w:vAlign w:val="center"/>
            <w:hideMark/>
          </w:tcPr>
          <w:p w14:paraId="1E4637F1" w14:textId="47117D37" w:rsidR="000D5097" w:rsidRPr="008E3AFF" w:rsidRDefault="00145E6E" w:rsidP="00254359">
            <w:pPr>
              <w:jc w:val="center"/>
              <w:rPr>
                <w:b/>
                <w:bCs/>
              </w:rPr>
            </w:pPr>
            <w:r w:rsidRPr="00145E6E">
              <w:rPr>
                <w:b/>
                <w:bCs/>
              </w:rPr>
              <w:t>Expected Output</w:t>
            </w:r>
          </w:p>
        </w:tc>
        <w:tc>
          <w:tcPr>
            <w:tcW w:w="1671" w:type="dxa"/>
            <w:vAlign w:val="center"/>
            <w:hideMark/>
          </w:tcPr>
          <w:p w14:paraId="06DCDB8A" w14:textId="77777777" w:rsidR="000D5097" w:rsidRPr="008E3AFF" w:rsidRDefault="000D5097" w:rsidP="00254359">
            <w:pPr>
              <w:jc w:val="center"/>
              <w:rPr>
                <w:b/>
                <w:bCs/>
              </w:rPr>
            </w:pPr>
            <w:r w:rsidRPr="008E3AFF">
              <w:rPr>
                <w:b/>
                <w:bCs/>
              </w:rPr>
              <w:t>In-Process KPIs</w:t>
            </w:r>
          </w:p>
        </w:tc>
        <w:tc>
          <w:tcPr>
            <w:tcW w:w="1590" w:type="dxa"/>
            <w:vAlign w:val="center"/>
            <w:hideMark/>
          </w:tcPr>
          <w:p w14:paraId="61DEFF71" w14:textId="77777777" w:rsidR="000D5097" w:rsidRPr="008E3AFF" w:rsidRDefault="000D5097" w:rsidP="00254359">
            <w:pPr>
              <w:jc w:val="center"/>
              <w:rPr>
                <w:b/>
                <w:bCs/>
              </w:rPr>
            </w:pPr>
            <w:r w:rsidRPr="008E3AFF">
              <w:rPr>
                <w:b/>
                <w:bCs/>
              </w:rPr>
              <w:t>Output KPIs</w:t>
            </w:r>
          </w:p>
        </w:tc>
        <w:tc>
          <w:tcPr>
            <w:tcW w:w="1950" w:type="dxa"/>
            <w:vAlign w:val="center"/>
            <w:hideMark/>
          </w:tcPr>
          <w:p w14:paraId="42FA88BD" w14:textId="77777777" w:rsidR="000D5097" w:rsidRPr="008E3AFF" w:rsidRDefault="000D5097" w:rsidP="00254359">
            <w:pPr>
              <w:jc w:val="center"/>
              <w:rPr>
                <w:b/>
                <w:bCs/>
              </w:rPr>
            </w:pPr>
            <w:r w:rsidRPr="008E3AFF">
              <w:rPr>
                <w:b/>
                <w:bCs/>
              </w:rPr>
              <w:t>Outcome/Impact KPIs</w:t>
            </w:r>
          </w:p>
        </w:tc>
        <w:tc>
          <w:tcPr>
            <w:tcW w:w="2388" w:type="dxa"/>
            <w:vAlign w:val="center"/>
            <w:hideMark/>
          </w:tcPr>
          <w:p w14:paraId="205C89B6" w14:textId="77777777" w:rsidR="000D5097" w:rsidRPr="008E3AFF" w:rsidRDefault="000D5097" w:rsidP="00254359">
            <w:pPr>
              <w:jc w:val="center"/>
              <w:rPr>
                <w:b/>
                <w:bCs/>
              </w:rPr>
            </w:pPr>
            <w:r w:rsidRPr="008E3AFF">
              <w:rPr>
                <w:b/>
                <w:bCs/>
                <w:cs/>
              </w:rPr>
              <w:t xml:space="preserve">เชื่อมโยงกับหมวด </w:t>
            </w:r>
            <w:r w:rsidRPr="008E3AFF">
              <w:rPr>
                <w:b/>
                <w:bCs/>
              </w:rPr>
              <w:t>7.3</w:t>
            </w:r>
          </w:p>
        </w:tc>
      </w:tr>
      <w:tr w:rsidR="003D567B" w:rsidRPr="003336E7" w14:paraId="51CEE609" w14:textId="77777777" w:rsidTr="003D5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C151E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b/>
                <w:bCs/>
                <w:sz w:val="24"/>
                <w:szCs w:val="32"/>
                <w:cs/>
              </w:rPr>
              <w:t>ก.(</w:t>
            </w:r>
            <w:r w:rsidRPr="008E3AFF">
              <w:rPr>
                <w:b/>
                <w:bCs/>
                <w:sz w:val="24"/>
                <w:szCs w:val="32"/>
              </w:rPr>
              <w:t>1)</w:t>
            </w:r>
            <w:r w:rsidRPr="008E3AFF">
              <w:rPr>
                <w:sz w:val="24"/>
                <w:szCs w:val="32"/>
              </w:rPr>
              <w:t xml:space="preserve"> </w:t>
            </w:r>
            <w:r w:rsidRPr="008E3AFF">
              <w:rPr>
                <w:sz w:val="24"/>
                <w:szCs w:val="32"/>
                <w:cs/>
              </w:rPr>
              <w:t>ความต้องการด้านความสามารถและอัตรากำลัง</w:t>
            </w:r>
          </w:p>
        </w:tc>
        <w:tc>
          <w:tcPr>
            <w:tcW w:w="0" w:type="auto"/>
            <w:vAlign w:val="center"/>
            <w:hideMark/>
          </w:tcPr>
          <w:p w14:paraId="569304E7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  <w:cs/>
              </w:rPr>
              <w:t>มีระบบวิเคราะห์และจัดสรรอัตรากำลังบุคลากรตามความต้องการและยุทธศาสตร์ขององค์กร</w:t>
            </w:r>
          </w:p>
        </w:tc>
        <w:tc>
          <w:tcPr>
            <w:tcW w:w="1671" w:type="dxa"/>
            <w:vAlign w:val="center"/>
          </w:tcPr>
          <w:p w14:paraId="612FE610" w14:textId="0F70F698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0599CCFB" w14:textId="7AFB22BF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78597280" w14:textId="7AE9EB77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2388" w:type="dxa"/>
            <w:vAlign w:val="center"/>
            <w:hideMark/>
          </w:tcPr>
          <w:p w14:paraId="1A8A96FB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</w:rPr>
              <w:t>7.3(1) Workforce Capability &amp; Capacity</w:t>
            </w:r>
          </w:p>
        </w:tc>
      </w:tr>
      <w:tr w:rsidR="003D567B" w:rsidRPr="003336E7" w14:paraId="42480847" w14:textId="77777777" w:rsidTr="003D5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BD2B8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b/>
                <w:bCs/>
                <w:sz w:val="24"/>
                <w:szCs w:val="32"/>
                <w:cs/>
              </w:rPr>
              <w:t>ก.(</w:t>
            </w:r>
            <w:r w:rsidRPr="008E3AFF">
              <w:rPr>
                <w:b/>
                <w:bCs/>
                <w:sz w:val="24"/>
                <w:szCs w:val="32"/>
              </w:rPr>
              <w:t>2)</w:t>
            </w:r>
            <w:r w:rsidRPr="008E3AFF">
              <w:rPr>
                <w:sz w:val="24"/>
                <w:szCs w:val="32"/>
              </w:rPr>
              <w:t xml:space="preserve"> </w:t>
            </w:r>
            <w:r w:rsidRPr="008E3AFF">
              <w:rPr>
                <w:sz w:val="24"/>
                <w:szCs w:val="32"/>
                <w:cs/>
              </w:rPr>
              <w:t>บุคลากรใหม่ (</w:t>
            </w:r>
            <w:r w:rsidRPr="008E3AFF">
              <w:rPr>
                <w:sz w:val="24"/>
                <w:szCs w:val="32"/>
              </w:rPr>
              <w:t>Onboard)</w:t>
            </w:r>
          </w:p>
        </w:tc>
        <w:tc>
          <w:tcPr>
            <w:tcW w:w="0" w:type="auto"/>
            <w:vAlign w:val="center"/>
            <w:hideMark/>
          </w:tcPr>
          <w:p w14:paraId="22AFA274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  <w:cs/>
              </w:rPr>
              <w:t>มีระบบรับบุคลากรใหม่ที่ชัดเจนและครอบคลุมทั้งการปฐมนิเทศและการพัฒนาให้พร้อมทำงาน</w:t>
            </w:r>
          </w:p>
        </w:tc>
        <w:tc>
          <w:tcPr>
            <w:tcW w:w="1671" w:type="dxa"/>
            <w:vAlign w:val="center"/>
          </w:tcPr>
          <w:p w14:paraId="46F80C2A" w14:textId="1C2EF57B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34F780CC" w14:textId="4D7853AD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1614EE46" w14:textId="7BB0ECC6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2388" w:type="dxa"/>
            <w:vAlign w:val="center"/>
            <w:hideMark/>
          </w:tcPr>
          <w:p w14:paraId="3C05B6F1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</w:rPr>
              <w:t>7.3(1)(3) Workforce Capability / Engagement</w:t>
            </w:r>
          </w:p>
        </w:tc>
      </w:tr>
      <w:tr w:rsidR="003D567B" w:rsidRPr="003336E7" w14:paraId="722F0D5C" w14:textId="77777777" w:rsidTr="003D5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265A1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b/>
                <w:bCs/>
                <w:sz w:val="24"/>
                <w:szCs w:val="32"/>
                <w:cs/>
              </w:rPr>
              <w:t>ก.(</w:t>
            </w:r>
            <w:r w:rsidRPr="008E3AFF">
              <w:rPr>
                <w:b/>
                <w:bCs/>
                <w:sz w:val="24"/>
                <w:szCs w:val="32"/>
              </w:rPr>
              <w:t>3)</w:t>
            </w:r>
            <w:r w:rsidRPr="008E3AFF">
              <w:rPr>
                <w:sz w:val="24"/>
                <w:szCs w:val="32"/>
              </w:rPr>
              <w:t xml:space="preserve"> </w:t>
            </w:r>
            <w:r w:rsidRPr="008E3AFF">
              <w:rPr>
                <w:sz w:val="24"/>
                <w:szCs w:val="32"/>
                <w:cs/>
              </w:rPr>
              <w:t>การเปลี่ยนแปลงด้านบุคลากร</w:t>
            </w:r>
          </w:p>
        </w:tc>
        <w:tc>
          <w:tcPr>
            <w:tcW w:w="0" w:type="auto"/>
            <w:vAlign w:val="center"/>
            <w:hideMark/>
          </w:tcPr>
          <w:p w14:paraId="1FB1C987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  <w:cs/>
              </w:rPr>
              <w:t>มีระบบเตรียมความพร้อมบุคลากรต่อการเปลี่ยนแปลงและการปรับตัวในสภาพแวดล้อมใหม่</w:t>
            </w:r>
          </w:p>
        </w:tc>
        <w:tc>
          <w:tcPr>
            <w:tcW w:w="1671" w:type="dxa"/>
            <w:vAlign w:val="center"/>
          </w:tcPr>
          <w:p w14:paraId="028CF313" w14:textId="0BD9F521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7455C7C3" w14:textId="2F1320B1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19DD75F6" w14:textId="508C3D29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2388" w:type="dxa"/>
            <w:vAlign w:val="center"/>
            <w:hideMark/>
          </w:tcPr>
          <w:p w14:paraId="60031AFC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</w:rPr>
              <w:t>7.3(1)(2) Workplace Climate</w:t>
            </w:r>
          </w:p>
        </w:tc>
      </w:tr>
      <w:tr w:rsidR="003D567B" w:rsidRPr="003336E7" w14:paraId="27CB0383" w14:textId="77777777" w:rsidTr="003D5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07E22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b/>
                <w:bCs/>
                <w:sz w:val="24"/>
                <w:szCs w:val="32"/>
                <w:cs/>
              </w:rPr>
              <w:t>ก.(</w:t>
            </w:r>
            <w:r w:rsidRPr="008E3AFF">
              <w:rPr>
                <w:b/>
                <w:bCs/>
                <w:sz w:val="24"/>
                <w:szCs w:val="32"/>
              </w:rPr>
              <w:t>4)</w:t>
            </w:r>
            <w:r w:rsidRPr="008E3AFF">
              <w:rPr>
                <w:sz w:val="24"/>
                <w:szCs w:val="32"/>
              </w:rPr>
              <w:t xml:space="preserve"> </w:t>
            </w:r>
            <w:r w:rsidRPr="008E3AFF">
              <w:rPr>
                <w:sz w:val="24"/>
                <w:szCs w:val="32"/>
                <w:cs/>
              </w:rPr>
              <w:t>ความสำเร็จในการทำงาน</w:t>
            </w:r>
          </w:p>
        </w:tc>
        <w:tc>
          <w:tcPr>
            <w:tcW w:w="0" w:type="auto"/>
            <w:vAlign w:val="center"/>
            <w:hideMark/>
          </w:tcPr>
          <w:p w14:paraId="03938DA3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  <w:cs/>
              </w:rPr>
              <w:t>มีระบบบริหารจัดการภาระงานและความสามารถบุคลากรเพื่อผลลัพธ์สูงสุด</w:t>
            </w:r>
          </w:p>
        </w:tc>
        <w:tc>
          <w:tcPr>
            <w:tcW w:w="1671" w:type="dxa"/>
            <w:vAlign w:val="center"/>
          </w:tcPr>
          <w:p w14:paraId="4EAD4AEE" w14:textId="4A654E7F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69206673" w14:textId="12866F37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1B072963" w14:textId="439DA9C3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2388" w:type="dxa"/>
            <w:vAlign w:val="center"/>
            <w:hideMark/>
          </w:tcPr>
          <w:p w14:paraId="7CCB8C1C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</w:rPr>
              <w:t>7.3(1) Workforce Accomplishment</w:t>
            </w:r>
          </w:p>
        </w:tc>
      </w:tr>
      <w:tr w:rsidR="003D567B" w:rsidRPr="003336E7" w14:paraId="495089BD" w14:textId="77777777" w:rsidTr="003D5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27D73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b/>
                <w:bCs/>
                <w:sz w:val="24"/>
                <w:szCs w:val="32"/>
                <w:cs/>
              </w:rPr>
              <w:t>ข.(</w:t>
            </w:r>
            <w:r w:rsidRPr="008E3AFF">
              <w:rPr>
                <w:b/>
                <w:bCs/>
                <w:sz w:val="24"/>
                <w:szCs w:val="32"/>
              </w:rPr>
              <w:t>1)</w:t>
            </w:r>
            <w:r w:rsidRPr="008E3AFF">
              <w:rPr>
                <w:sz w:val="24"/>
                <w:szCs w:val="32"/>
              </w:rPr>
              <w:t xml:space="preserve"> </w:t>
            </w:r>
            <w:r w:rsidRPr="008E3AFF">
              <w:rPr>
                <w:sz w:val="24"/>
                <w:szCs w:val="32"/>
                <w:cs/>
              </w:rPr>
              <w:t>สภาพแวดล้อมการทำงาน</w:t>
            </w:r>
          </w:p>
        </w:tc>
        <w:tc>
          <w:tcPr>
            <w:tcW w:w="0" w:type="auto"/>
            <w:vAlign w:val="center"/>
            <w:hideMark/>
          </w:tcPr>
          <w:p w14:paraId="21A37BD9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  <w:cs/>
              </w:rPr>
              <w:t>มีระบบดูแลสุขภาวะ ความปลอดภัย และการเข้าถึงสภาพแวดล้อมการทำงานที่เหมาะสม</w:t>
            </w:r>
          </w:p>
        </w:tc>
        <w:tc>
          <w:tcPr>
            <w:tcW w:w="1671" w:type="dxa"/>
            <w:vAlign w:val="center"/>
          </w:tcPr>
          <w:p w14:paraId="17D2E9DC" w14:textId="0A03F50F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11624EFA" w14:textId="18081B17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037C8D30" w14:textId="2B813CD9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2388" w:type="dxa"/>
            <w:vAlign w:val="center"/>
            <w:hideMark/>
          </w:tcPr>
          <w:p w14:paraId="5C411F09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</w:rPr>
              <w:t>7.3(2) Workplace Climate</w:t>
            </w:r>
          </w:p>
        </w:tc>
      </w:tr>
      <w:tr w:rsidR="003D567B" w:rsidRPr="003336E7" w14:paraId="0E077B8F" w14:textId="77777777" w:rsidTr="003D5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0FFF6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b/>
                <w:bCs/>
                <w:sz w:val="24"/>
                <w:szCs w:val="32"/>
                <w:cs/>
              </w:rPr>
              <w:t>ข.(</w:t>
            </w:r>
            <w:r w:rsidRPr="008E3AFF">
              <w:rPr>
                <w:b/>
                <w:bCs/>
                <w:sz w:val="24"/>
                <w:szCs w:val="32"/>
              </w:rPr>
              <w:t>2)</w:t>
            </w:r>
            <w:r w:rsidRPr="008E3AFF">
              <w:rPr>
                <w:sz w:val="24"/>
                <w:szCs w:val="32"/>
              </w:rPr>
              <w:t xml:space="preserve"> </w:t>
            </w:r>
            <w:r w:rsidRPr="008E3AFF">
              <w:rPr>
                <w:sz w:val="24"/>
                <w:szCs w:val="32"/>
                <w:cs/>
              </w:rPr>
              <w:t>ค่าตอบแทนและสิทธิประโยชน์</w:t>
            </w:r>
          </w:p>
        </w:tc>
        <w:tc>
          <w:tcPr>
            <w:tcW w:w="0" w:type="auto"/>
            <w:vAlign w:val="center"/>
            <w:hideMark/>
          </w:tcPr>
          <w:p w14:paraId="54285436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  <w:cs/>
              </w:rPr>
              <w:t>มีระบบค่าตอบแทนและสิทธิประโยชน์ที่เป็นธรรมและแข่งขันได้</w:t>
            </w:r>
          </w:p>
        </w:tc>
        <w:tc>
          <w:tcPr>
            <w:tcW w:w="1671" w:type="dxa"/>
            <w:vAlign w:val="center"/>
          </w:tcPr>
          <w:p w14:paraId="2A337F46" w14:textId="70FB5C5E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14A66A3D" w14:textId="3D6F46C9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4F46566A" w14:textId="54DD00A9" w:rsidR="000D5097" w:rsidRPr="008E3AFF" w:rsidRDefault="000D5097" w:rsidP="00254359">
            <w:pPr>
              <w:rPr>
                <w:sz w:val="24"/>
                <w:szCs w:val="32"/>
              </w:rPr>
            </w:pPr>
          </w:p>
        </w:tc>
        <w:tc>
          <w:tcPr>
            <w:tcW w:w="2388" w:type="dxa"/>
            <w:vAlign w:val="center"/>
            <w:hideMark/>
          </w:tcPr>
          <w:p w14:paraId="586DF972" w14:textId="77777777" w:rsidR="000D5097" w:rsidRPr="008E3AFF" w:rsidRDefault="000D5097" w:rsidP="00254359">
            <w:pPr>
              <w:rPr>
                <w:sz w:val="24"/>
                <w:szCs w:val="32"/>
              </w:rPr>
            </w:pPr>
            <w:r w:rsidRPr="008E3AFF">
              <w:rPr>
                <w:sz w:val="24"/>
                <w:szCs w:val="32"/>
              </w:rPr>
              <w:t>7.3(2)(3) Workplace Climate &amp; Retention</w:t>
            </w:r>
          </w:p>
        </w:tc>
      </w:tr>
    </w:tbl>
    <w:p w14:paraId="501BDB10" w14:textId="77777777" w:rsidR="000D5097" w:rsidRPr="003336E7" w:rsidRDefault="000D5097" w:rsidP="000D5097">
      <w:pPr>
        <w:rPr>
          <w:sz w:val="24"/>
          <w:szCs w:val="32"/>
        </w:rPr>
      </w:pPr>
    </w:p>
    <w:p w14:paraId="0E25A26B" w14:textId="77777777" w:rsidR="003336E7" w:rsidRDefault="003336E7" w:rsidP="000D5097">
      <w:pPr>
        <w:jc w:val="center"/>
        <w:rPr>
          <w:sz w:val="28"/>
          <w:szCs w:val="36"/>
          <w:lang w:val="en-US"/>
        </w:rPr>
      </w:pPr>
    </w:p>
    <w:p w14:paraId="7E10DE0A" w14:textId="77777777" w:rsidR="003336E7" w:rsidRDefault="003336E7" w:rsidP="000D5097">
      <w:pPr>
        <w:jc w:val="center"/>
        <w:rPr>
          <w:sz w:val="28"/>
          <w:szCs w:val="36"/>
          <w:lang w:val="en-US"/>
        </w:rPr>
      </w:pPr>
    </w:p>
    <w:p w14:paraId="26418225" w14:textId="77777777" w:rsidR="003336E7" w:rsidRDefault="003336E7" w:rsidP="000D5097">
      <w:pPr>
        <w:jc w:val="center"/>
        <w:rPr>
          <w:sz w:val="28"/>
          <w:szCs w:val="36"/>
          <w:lang w:val="en-US"/>
        </w:rPr>
      </w:pPr>
    </w:p>
    <w:p w14:paraId="4ABC960A" w14:textId="08A2CC88" w:rsidR="003336E7" w:rsidRDefault="003336E7" w:rsidP="000D5097">
      <w:pPr>
        <w:jc w:val="center"/>
        <w:rPr>
          <w:sz w:val="28"/>
          <w:szCs w:val="36"/>
          <w:lang w:val="en-US"/>
        </w:rPr>
        <w:sectPr w:rsidR="003336E7" w:rsidSect="008E3AF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3D2A3C1" w14:textId="1288517F" w:rsidR="000D5097" w:rsidRDefault="003336E7" w:rsidP="000D5097">
      <w:pPr>
        <w:jc w:val="center"/>
        <w:rPr>
          <w:sz w:val="28"/>
          <w:szCs w:val="36"/>
          <w:lang w:val="en-US"/>
        </w:rPr>
      </w:pPr>
      <w:r>
        <w:rPr>
          <w:sz w:val="28"/>
          <w:szCs w:val="36"/>
          <w:lang w:val="en-US"/>
        </w:rPr>
        <w:lastRenderedPageBreak/>
        <w:t>5.2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2397"/>
        <w:gridCol w:w="2522"/>
        <w:gridCol w:w="2618"/>
        <w:gridCol w:w="3686"/>
        <w:gridCol w:w="2281"/>
      </w:tblGrid>
      <w:tr w:rsidR="003336E7" w:rsidRPr="000B4B8D" w14:paraId="07112383" w14:textId="77777777" w:rsidTr="00254359">
        <w:trPr>
          <w:tblHeader/>
          <w:tblCellSpacing w:w="15" w:type="dxa"/>
        </w:trPr>
        <w:tc>
          <w:tcPr>
            <w:tcW w:w="1840" w:type="dxa"/>
            <w:vAlign w:val="center"/>
            <w:hideMark/>
          </w:tcPr>
          <w:p w14:paraId="17AAF3E2" w14:textId="77777777" w:rsidR="003336E7" w:rsidRPr="000B4B8D" w:rsidRDefault="003336E7" w:rsidP="00254359">
            <w:pPr>
              <w:jc w:val="center"/>
              <w:rPr>
                <w:b/>
                <w:bCs/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  <w:cs/>
                <w:lang w:val="en-US"/>
              </w:rPr>
              <w:t>ข้อคำถามจากเกณฑ์</w:t>
            </w:r>
          </w:p>
        </w:tc>
        <w:tc>
          <w:tcPr>
            <w:tcW w:w="2367" w:type="dxa"/>
            <w:vAlign w:val="center"/>
            <w:hideMark/>
          </w:tcPr>
          <w:p w14:paraId="145AF38E" w14:textId="29FE39AA" w:rsidR="003336E7" w:rsidRPr="000B4B8D" w:rsidRDefault="00145E6E" w:rsidP="00254359">
            <w:pPr>
              <w:jc w:val="center"/>
              <w:rPr>
                <w:b/>
                <w:bCs/>
                <w:sz w:val="24"/>
                <w:szCs w:val="32"/>
              </w:rPr>
            </w:pPr>
            <w:r w:rsidRPr="00145E6E">
              <w:rPr>
                <w:b/>
                <w:bCs/>
                <w:sz w:val="24"/>
                <w:szCs w:val="32"/>
              </w:rPr>
              <w:t>Expected Output</w:t>
            </w:r>
          </w:p>
        </w:tc>
        <w:tc>
          <w:tcPr>
            <w:tcW w:w="0" w:type="auto"/>
            <w:vAlign w:val="center"/>
            <w:hideMark/>
          </w:tcPr>
          <w:p w14:paraId="003E48E2" w14:textId="77777777" w:rsidR="003336E7" w:rsidRPr="000B4B8D" w:rsidRDefault="003336E7" w:rsidP="00254359">
            <w:pPr>
              <w:jc w:val="center"/>
              <w:rPr>
                <w:b/>
                <w:bCs/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</w:rPr>
              <w:t>In-Process KPIs</w:t>
            </w:r>
          </w:p>
        </w:tc>
        <w:tc>
          <w:tcPr>
            <w:tcW w:w="0" w:type="auto"/>
            <w:vAlign w:val="center"/>
            <w:hideMark/>
          </w:tcPr>
          <w:p w14:paraId="707EC5B7" w14:textId="77777777" w:rsidR="003336E7" w:rsidRPr="000B4B8D" w:rsidRDefault="003336E7" w:rsidP="00254359">
            <w:pPr>
              <w:jc w:val="center"/>
              <w:rPr>
                <w:b/>
                <w:bCs/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</w:rPr>
              <w:t>Output KPIs</w:t>
            </w:r>
          </w:p>
        </w:tc>
        <w:tc>
          <w:tcPr>
            <w:tcW w:w="0" w:type="auto"/>
            <w:vAlign w:val="center"/>
            <w:hideMark/>
          </w:tcPr>
          <w:p w14:paraId="4A73DF7D" w14:textId="77777777" w:rsidR="003336E7" w:rsidRPr="000B4B8D" w:rsidRDefault="003336E7" w:rsidP="00254359">
            <w:pPr>
              <w:jc w:val="center"/>
              <w:rPr>
                <w:b/>
                <w:bCs/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</w:rPr>
              <w:t>Outcome/Impact KPIs</w:t>
            </w:r>
          </w:p>
        </w:tc>
        <w:tc>
          <w:tcPr>
            <w:tcW w:w="0" w:type="auto"/>
            <w:vAlign w:val="center"/>
            <w:hideMark/>
          </w:tcPr>
          <w:p w14:paraId="5A5196C0" w14:textId="77777777" w:rsidR="003336E7" w:rsidRPr="000B4B8D" w:rsidRDefault="003336E7" w:rsidP="00254359">
            <w:pPr>
              <w:jc w:val="center"/>
              <w:rPr>
                <w:b/>
                <w:bCs/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  <w:cs/>
                <w:lang w:val="en-US"/>
              </w:rPr>
              <w:t xml:space="preserve">เชื่อมโยงกับหมวด </w:t>
            </w:r>
            <w:r w:rsidRPr="000B4B8D">
              <w:rPr>
                <w:b/>
                <w:bCs/>
                <w:sz w:val="24"/>
                <w:szCs w:val="32"/>
              </w:rPr>
              <w:t>7.3</w:t>
            </w:r>
          </w:p>
        </w:tc>
      </w:tr>
      <w:tr w:rsidR="003336E7" w:rsidRPr="000B4B8D" w14:paraId="5AD27096" w14:textId="77777777" w:rsidTr="003336E7">
        <w:trPr>
          <w:tblCellSpacing w:w="15" w:type="dxa"/>
        </w:trPr>
        <w:tc>
          <w:tcPr>
            <w:tcW w:w="1840" w:type="dxa"/>
            <w:vAlign w:val="center"/>
            <w:hideMark/>
          </w:tcPr>
          <w:p w14:paraId="378C1150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  <w:cs/>
                <w:lang w:val="en-US"/>
              </w:rPr>
              <w:t>ก.(</w:t>
            </w:r>
            <w:r w:rsidRPr="000B4B8D">
              <w:rPr>
                <w:b/>
                <w:bCs/>
                <w:sz w:val="24"/>
                <w:szCs w:val="32"/>
              </w:rPr>
              <w:t>1)</w:t>
            </w:r>
            <w:r w:rsidRPr="000B4B8D">
              <w:rPr>
                <w:sz w:val="24"/>
                <w:szCs w:val="32"/>
              </w:rPr>
              <w:t xml:space="preserve"> </w:t>
            </w:r>
            <w:r w:rsidRPr="000B4B8D">
              <w:rPr>
                <w:sz w:val="24"/>
                <w:szCs w:val="32"/>
                <w:cs/>
                <w:lang w:val="en-US"/>
              </w:rPr>
              <w:t>การประเมินความผูกพันของบุคลากร</w:t>
            </w:r>
          </w:p>
        </w:tc>
        <w:tc>
          <w:tcPr>
            <w:tcW w:w="2367" w:type="dxa"/>
            <w:vAlign w:val="center"/>
            <w:hideMark/>
          </w:tcPr>
          <w:p w14:paraId="1380F0CC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  <w:cs/>
                <w:lang w:val="en-US"/>
              </w:rPr>
              <w:t>มีระบบประเมินความผูกพันอย่างเป็นระบบและสม่ำเสมอ</w:t>
            </w:r>
          </w:p>
        </w:tc>
        <w:tc>
          <w:tcPr>
            <w:tcW w:w="0" w:type="auto"/>
            <w:vAlign w:val="center"/>
          </w:tcPr>
          <w:p w14:paraId="54A28791" w14:textId="0FC69BC3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A37AE1F" w14:textId="51BB0BF5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451FE368" w14:textId="4C4016E4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363E844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>7.3(3) Workforce Engagement</w:t>
            </w:r>
          </w:p>
        </w:tc>
      </w:tr>
      <w:tr w:rsidR="003336E7" w:rsidRPr="000B4B8D" w14:paraId="5404062D" w14:textId="77777777" w:rsidTr="003336E7">
        <w:trPr>
          <w:tblCellSpacing w:w="15" w:type="dxa"/>
        </w:trPr>
        <w:tc>
          <w:tcPr>
            <w:tcW w:w="1840" w:type="dxa"/>
            <w:vAlign w:val="center"/>
            <w:hideMark/>
          </w:tcPr>
          <w:p w14:paraId="56361C4F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  <w:cs/>
                <w:lang w:val="en-US"/>
              </w:rPr>
              <w:t>ก.(</w:t>
            </w:r>
            <w:r w:rsidRPr="000B4B8D">
              <w:rPr>
                <w:b/>
                <w:bCs/>
                <w:sz w:val="24"/>
                <w:szCs w:val="32"/>
              </w:rPr>
              <w:t>2)</w:t>
            </w:r>
            <w:r w:rsidRPr="000B4B8D">
              <w:rPr>
                <w:sz w:val="24"/>
                <w:szCs w:val="32"/>
              </w:rPr>
              <w:t xml:space="preserve"> </w:t>
            </w:r>
            <w:r w:rsidRPr="000B4B8D">
              <w:rPr>
                <w:sz w:val="24"/>
                <w:szCs w:val="32"/>
                <w:cs/>
                <w:lang w:val="en-US"/>
              </w:rPr>
              <w:t>ปัจจัยขับเคลื่อนความผูกพัน</w:t>
            </w:r>
          </w:p>
        </w:tc>
        <w:tc>
          <w:tcPr>
            <w:tcW w:w="2367" w:type="dxa"/>
            <w:vAlign w:val="center"/>
            <w:hideMark/>
          </w:tcPr>
          <w:p w14:paraId="74E8D92A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  <w:cs/>
                <w:lang w:val="en-US"/>
              </w:rPr>
              <w:t>มีการวิเคราะห์และกำหนดปัจจัยขับเคลื่อนสำคัญของความผูกพัน</w:t>
            </w:r>
          </w:p>
        </w:tc>
        <w:tc>
          <w:tcPr>
            <w:tcW w:w="0" w:type="auto"/>
            <w:vAlign w:val="center"/>
          </w:tcPr>
          <w:p w14:paraId="23E011A0" w14:textId="00DC9B10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6610FA38" w14:textId="58D1BA15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345C210B" w14:textId="51522E94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4D6C6FA6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>7.3(3)(4) Engagement &amp; Development</w:t>
            </w:r>
          </w:p>
        </w:tc>
      </w:tr>
      <w:tr w:rsidR="003336E7" w:rsidRPr="000B4B8D" w14:paraId="3C9452E4" w14:textId="77777777" w:rsidTr="003336E7">
        <w:trPr>
          <w:tblCellSpacing w:w="15" w:type="dxa"/>
        </w:trPr>
        <w:tc>
          <w:tcPr>
            <w:tcW w:w="1840" w:type="dxa"/>
            <w:vAlign w:val="center"/>
            <w:hideMark/>
          </w:tcPr>
          <w:p w14:paraId="396DC224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  <w:cs/>
                <w:lang w:val="en-US"/>
              </w:rPr>
              <w:t>ข.</w:t>
            </w:r>
            <w:r w:rsidRPr="000B4B8D">
              <w:rPr>
                <w:sz w:val="24"/>
                <w:szCs w:val="32"/>
              </w:rPr>
              <w:t xml:space="preserve"> </w:t>
            </w:r>
            <w:r w:rsidRPr="000B4B8D">
              <w:rPr>
                <w:sz w:val="24"/>
                <w:szCs w:val="32"/>
                <w:cs/>
                <w:lang w:val="en-US"/>
              </w:rPr>
              <w:t>วัฒนธรรมองค์กร</w:t>
            </w:r>
          </w:p>
        </w:tc>
        <w:tc>
          <w:tcPr>
            <w:tcW w:w="2367" w:type="dxa"/>
            <w:vAlign w:val="center"/>
            <w:hideMark/>
          </w:tcPr>
          <w:p w14:paraId="42BDB818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  <w:cs/>
                <w:lang w:val="en-US"/>
              </w:rPr>
              <w:t>มีวัฒนธรรมที่ส่งเสริมความร่วมมือ ความไว้วางใจ และการเรียนรู้ร่วมกัน</w:t>
            </w:r>
          </w:p>
        </w:tc>
        <w:tc>
          <w:tcPr>
            <w:tcW w:w="0" w:type="auto"/>
            <w:vAlign w:val="center"/>
          </w:tcPr>
          <w:p w14:paraId="034C4278" w14:textId="5831F866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1F9EAF97" w14:textId="5E254E19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5C2FDF7" w14:textId="2A3569B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4495A97F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>7.3(2)(3) Workplace Climate &amp; Engagement</w:t>
            </w:r>
          </w:p>
        </w:tc>
      </w:tr>
      <w:tr w:rsidR="003336E7" w:rsidRPr="000B4B8D" w14:paraId="39BD8CB0" w14:textId="77777777" w:rsidTr="003336E7">
        <w:trPr>
          <w:tblCellSpacing w:w="15" w:type="dxa"/>
        </w:trPr>
        <w:tc>
          <w:tcPr>
            <w:tcW w:w="1840" w:type="dxa"/>
            <w:vAlign w:val="center"/>
            <w:hideMark/>
          </w:tcPr>
          <w:p w14:paraId="213CC1EE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  <w:cs/>
                <w:lang w:val="en-US"/>
              </w:rPr>
              <w:t>ค.(</w:t>
            </w:r>
            <w:r w:rsidRPr="000B4B8D">
              <w:rPr>
                <w:b/>
                <w:bCs/>
                <w:sz w:val="24"/>
                <w:szCs w:val="32"/>
              </w:rPr>
              <w:t>1)</w:t>
            </w:r>
            <w:r w:rsidRPr="000B4B8D">
              <w:rPr>
                <w:sz w:val="24"/>
                <w:szCs w:val="32"/>
              </w:rPr>
              <w:t xml:space="preserve"> </w:t>
            </w:r>
            <w:r w:rsidRPr="000B4B8D">
              <w:rPr>
                <w:sz w:val="24"/>
                <w:szCs w:val="32"/>
                <w:cs/>
                <w:lang w:val="en-US"/>
              </w:rPr>
              <w:t>การจัดการผลการปฏิบัติงาน</w:t>
            </w:r>
          </w:p>
        </w:tc>
        <w:tc>
          <w:tcPr>
            <w:tcW w:w="2367" w:type="dxa"/>
            <w:vAlign w:val="center"/>
            <w:hideMark/>
          </w:tcPr>
          <w:p w14:paraId="32E89DC8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  <w:cs/>
                <w:lang w:val="en-US"/>
              </w:rPr>
              <w:t>มีระบบบริหารผลการปฏิบัติงานที่เป็นธรรมและสร้างแรงจูงใจ</w:t>
            </w:r>
          </w:p>
        </w:tc>
        <w:tc>
          <w:tcPr>
            <w:tcW w:w="0" w:type="auto"/>
            <w:vAlign w:val="center"/>
          </w:tcPr>
          <w:p w14:paraId="20F9BEBA" w14:textId="3865B2EA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8169A79" w14:textId="4E4B436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0630D094" w14:textId="10134503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19BE6F39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>7.3(3) Engagement &amp; Retention</w:t>
            </w:r>
          </w:p>
        </w:tc>
      </w:tr>
      <w:tr w:rsidR="003336E7" w:rsidRPr="000B4B8D" w14:paraId="1D1E0FE1" w14:textId="77777777" w:rsidTr="00254359">
        <w:trPr>
          <w:tblCellSpacing w:w="15" w:type="dxa"/>
        </w:trPr>
        <w:tc>
          <w:tcPr>
            <w:tcW w:w="1840" w:type="dxa"/>
            <w:vAlign w:val="center"/>
            <w:hideMark/>
          </w:tcPr>
          <w:p w14:paraId="37CB1182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  <w:cs/>
                <w:lang w:val="en-US"/>
              </w:rPr>
              <w:lastRenderedPageBreak/>
              <w:t>ค.(</w:t>
            </w:r>
            <w:r w:rsidRPr="000B4B8D">
              <w:rPr>
                <w:b/>
                <w:bCs/>
                <w:sz w:val="24"/>
                <w:szCs w:val="32"/>
              </w:rPr>
              <w:t>2)</w:t>
            </w:r>
            <w:r w:rsidRPr="000B4B8D">
              <w:rPr>
                <w:sz w:val="24"/>
                <w:szCs w:val="32"/>
              </w:rPr>
              <w:t xml:space="preserve"> </w:t>
            </w:r>
            <w:r w:rsidRPr="000B4B8D">
              <w:rPr>
                <w:sz w:val="24"/>
                <w:szCs w:val="32"/>
                <w:cs/>
                <w:lang w:val="en-US"/>
              </w:rPr>
              <w:t>การพัฒนาศักยภาพ</w:t>
            </w:r>
          </w:p>
        </w:tc>
        <w:tc>
          <w:tcPr>
            <w:tcW w:w="2367" w:type="dxa"/>
            <w:vAlign w:val="center"/>
            <w:hideMark/>
          </w:tcPr>
          <w:p w14:paraId="046B6C57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  <w:cs/>
                <w:lang w:val="en-US"/>
              </w:rPr>
              <w:t>มีระบบพัฒนาและต่อยอดสมรรถนะบุคลากรทุกระดับ</w:t>
            </w:r>
          </w:p>
        </w:tc>
        <w:tc>
          <w:tcPr>
            <w:tcW w:w="0" w:type="auto"/>
            <w:vAlign w:val="center"/>
            <w:hideMark/>
          </w:tcPr>
          <w:p w14:paraId="2827FD5B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 xml:space="preserve">• </w:t>
            </w:r>
            <w:r w:rsidRPr="000B4B8D">
              <w:rPr>
                <w:sz w:val="24"/>
                <w:szCs w:val="32"/>
                <w:cs/>
                <w:lang w:val="en-US"/>
              </w:rPr>
              <w:t>จำนวนหลักสูตรพัฒนาบุคลากรต่อปี (</w:t>
            </w:r>
            <w:r w:rsidRPr="000B4B8D">
              <w:rPr>
                <w:rFonts w:ascii="Cambria Math" w:hAnsi="Cambria Math" w:cs="Cambria Math" w:hint="cs"/>
                <w:sz w:val="24"/>
                <w:szCs w:val="32"/>
                <w:cs/>
                <w:lang w:val="en-US"/>
              </w:rPr>
              <w:t>≥</w:t>
            </w:r>
            <w:r w:rsidRPr="000B4B8D">
              <w:rPr>
                <w:sz w:val="24"/>
                <w:szCs w:val="32"/>
              </w:rPr>
              <w:t xml:space="preserve">10) • </w:t>
            </w:r>
            <w:r w:rsidRPr="000B4B8D">
              <w:rPr>
                <w:sz w:val="24"/>
                <w:szCs w:val="32"/>
                <w:cs/>
                <w:lang w:val="en-US"/>
              </w:rPr>
              <w:t xml:space="preserve">ร้อยละบุคลากรเข้าร่วม </w:t>
            </w:r>
            <w:r w:rsidRPr="000B4B8D">
              <w:rPr>
                <w:rFonts w:ascii="Cambria Math" w:hAnsi="Cambria Math" w:cs="Cambria Math" w:hint="cs"/>
                <w:sz w:val="24"/>
                <w:szCs w:val="32"/>
                <w:cs/>
                <w:lang w:val="en-US"/>
              </w:rPr>
              <w:t>≥</w:t>
            </w:r>
            <w:r w:rsidRPr="000B4B8D">
              <w:rPr>
                <w:sz w:val="24"/>
                <w:szCs w:val="32"/>
              </w:rPr>
              <w:t>85%</w:t>
            </w:r>
          </w:p>
        </w:tc>
        <w:tc>
          <w:tcPr>
            <w:tcW w:w="0" w:type="auto"/>
            <w:vAlign w:val="center"/>
            <w:hideMark/>
          </w:tcPr>
          <w:p w14:paraId="212F44EE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 xml:space="preserve">• </w:t>
            </w:r>
            <w:r w:rsidRPr="000B4B8D">
              <w:rPr>
                <w:sz w:val="24"/>
                <w:szCs w:val="32"/>
                <w:cs/>
                <w:lang w:val="en-US"/>
              </w:rPr>
              <w:t>ร้อยละบุคลากรที่นำความรู้ไปใช้จริงหลังอบรม (</w:t>
            </w:r>
            <w:r w:rsidRPr="000B4B8D">
              <w:rPr>
                <w:rFonts w:ascii="Cambria Math" w:hAnsi="Cambria Math" w:cs="Cambria Math" w:hint="cs"/>
                <w:sz w:val="24"/>
                <w:szCs w:val="32"/>
                <w:cs/>
                <w:lang w:val="en-US"/>
              </w:rPr>
              <w:t>≥</w:t>
            </w:r>
            <w:r w:rsidRPr="000B4B8D">
              <w:rPr>
                <w:sz w:val="24"/>
                <w:szCs w:val="32"/>
              </w:rPr>
              <w:t>80%)</w:t>
            </w:r>
          </w:p>
        </w:tc>
        <w:tc>
          <w:tcPr>
            <w:tcW w:w="0" w:type="auto"/>
            <w:vAlign w:val="center"/>
            <w:hideMark/>
          </w:tcPr>
          <w:p w14:paraId="2D743322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 xml:space="preserve">• </w:t>
            </w:r>
            <w:r w:rsidRPr="000B4B8D">
              <w:rPr>
                <w:sz w:val="24"/>
                <w:szCs w:val="32"/>
                <w:cs/>
                <w:lang w:val="en-US"/>
              </w:rPr>
              <w:t xml:space="preserve">ดัชนีสมรรถนะบุคลากรเฉลี่ยเพิ่มขึ้น </w:t>
            </w:r>
            <w:r w:rsidRPr="000B4B8D">
              <w:rPr>
                <w:rFonts w:ascii="Cambria Math" w:hAnsi="Cambria Math" w:cs="Cambria Math" w:hint="cs"/>
                <w:sz w:val="24"/>
                <w:szCs w:val="32"/>
                <w:cs/>
                <w:lang w:val="en-US"/>
              </w:rPr>
              <w:t>≥</w:t>
            </w:r>
            <w:r w:rsidRPr="000B4B8D">
              <w:rPr>
                <w:sz w:val="24"/>
                <w:szCs w:val="32"/>
              </w:rPr>
              <w:t xml:space="preserve">5% </w:t>
            </w:r>
            <w:r w:rsidRPr="000B4B8D">
              <w:rPr>
                <w:sz w:val="24"/>
                <w:szCs w:val="32"/>
                <w:cs/>
                <w:lang w:val="en-US"/>
              </w:rPr>
              <w:t>ต่อปี</w:t>
            </w:r>
            <w:r w:rsidRPr="000B4B8D">
              <w:rPr>
                <w:sz w:val="24"/>
                <w:szCs w:val="32"/>
              </w:rPr>
              <w:t xml:space="preserve"> • </w:t>
            </w:r>
            <w:r w:rsidRPr="000B4B8D">
              <w:rPr>
                <w:sz w:val="24"/>
                <w:szCs w:val="32"/>
                <w:cs/>
                <w:lang w:val="en-US"/>
              </w:rPr>
              <w:t xml:space="preserve">ดัชนี </w:t>
            </w:r>
            <w:r w:rsidRPr="000B4B8D">
              <w:rPr>
                <w:sz w:val="24"/>
                <w:szCs w:val="32"/>
              </w:rPr>
              <w:t>Learning Effectiveness ≥80%</w:t>
            </w:r>
          </w:p>
        </w:tc>
        <w:tc>
          <w:tcPr>
            <w:tcW w:w="0" w:type="auto"/>
            <w:vAlign w:val="center"/>
            <w:hideMark/>
          </w:tcPr>
          <w:p w14:paraId="5DDA5C91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>7.3(4) Workforce Development</w:t>
            </w:r>
          </w:p>
        </w:tc>
      </w:tr>
      <w:tr w:rsidR="003336E7" w:rsidRPr="000B4B8D" w14:paraId="011F4D58" w14:textId="77777777" w:rsidTr="00254359">
        <w:trPr>
          <w:tblCellSpacing w:w="15" w:type="dxa"/>
        </w:trPr>
        <w:tc>
          <w:tcPr>
            <w:tcW w:w="1840" w:type="dxa"/>
            <w:vAlign w:val="center"/>
            <w:hideMark/>
          </w:tcPr>
          <w:p w14:paraId="2553DF1D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  <w:cs/>
                <w:lang w:val="en-US"/>
              </w:rPr>
              <w:t>ค.(</w:t>
            </w:r>
            <w:r w:rsidRPr="000B4B8D">
              <w:rPr>
                <w:b/>
                <w:bCs/>
                <w:sz w:val="24"/>
                <w:szCs w:val="32"/>
              </w:rPr>
              <w:t>3)</w:t>
            </w:r>
            <w:r w:rsidRPr="000B4B8D">
              <w:rPr>
                <w:sz w:val="24"/>
                <w:szCs w:val="32"/>
              </w:rPr>
              <w:t xml:space="preserve"> </w:t>
            </w:r>
            <w:r w:rsidRPr="000B4B8D">
              <w:rPr>
                <w:sz w:val="24"/>
                <w:szCs w:val="32"/>
                <w:cs/>
                <w:lang w:val="en-US"/>
              </w:rPr>
              <w:t>การวางแผนอาชีพและสืบทอดตำแหน่ง</w:t>
            </w:r>
          </w:p>
        </w:tc>
        <w:tc>
          <w:tcPr>
            <w:tcW w:w="2367" w:type="dxa"/>
            <w:vAlign w:val="center"/>
            <w:hideMark/>
          </w:tcPr>
          <w:p w14:paraId="1DA3341A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  <w:cs/>
                <w:lang w:val="en-US"/>
              </w:rPr>
              <w:t xml:space="preserve">มีระบบ </w:t>
            </w:r>
            <w:r w:rsidRPr="000B4B8D">
              <w:rPr>
                <w:sz w:val="24"/>
                <w:szCs w:val="32"/>
              </w:rPr>
              <w:t xml:space="preserve">Succession Planning </w:t>
            </w:r>
            <w:r w:rsidRPr="000B4B8D">
              <w:rPr>
                <w:sz w:val="24"/>
                <w:szCs w:val="32"/>
                <w:cs/>
                <w:lang w:val="en-US"/>
              </w:rPr>
              <w:t>ครอบคลุมตำแหน่งสำคัญ</w:t>
            </w:r>
          </w:p>
        </w:tc>
        <w:tc>
          <w:tcPr>
            <w:tcW w:w="0" w:type="auto"/>
            <w:vAlign w:val="center"/>
            <w:hideMark/>
          </w:tcPr>
          <w:p w14:paraId="191297C0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 xml:space="preserve">• </w:t>
            </w:r>
            <w:r w:rsidRPr="000B4B8D">
              <w:rPr>
                <w:sz w:val="24"/>
                <w:szCs w:val="32"/>
                <w:cs/>
                <w:lang w:val="en-US"/>
              </w:rPr>
              <w:t xml:space="preserve">จำนวนตำแหน่งสำคัญที่มีผู้สืบทอด </w:t>
            </w:r>
            <w:r w:rsidRPr="000B4B8D">
              <w:rPr>
                <w:rFonts w:ascii="Cambria Math" w:hAnsi="Cambria Math" w:cs="Cambria Math" w:hint="cs"/>
                <w:sz w:val="24"/>
                <w:szCs w:val="32"/>
                <w:cs/>
                <w:lang w:val="en-US"/>
              </w:rPr>
              <w:t>≥</w:t>
            </w:r>
            <w:r w:rsidRPr="000B4B8D">
              <w:rPr>
                <w:sz w:val="24"/>
                <w:szCs w:val="32"/>
              </w:rPr>
              <w:t>80%</w:t>
            </w:r>
          </w:p>
        </w:tc>
        <w:tc>
          <w:tcPr>
            <w:tcW w:w="0" w:type="auto"/>
            <w:vAlign w:val="center"/>
            <w:hideMark/>
          </w:tcPr>
          <w:p w14:paraId="79544D1B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 xml:space="preserve">• </w:t>
            </w:r>
            <w:r w:rsidRPr="000B4B8D">
              <w:rPr>
                <w:sz w:val="24"/>
                <w:szCs w:val="32"/>
                <w:cs/>
                <w:lang w:val="en-US"/>
              </w:rPr>
              <w:t xml:space="preserve">ร้อยละผู้สืบทอดผ่านการพัฒนา </w:t>
            </w:r>
            <w:r w:rsidRPr="000B4B8D">
              <w:rPr>
                <w:sz w:val="24"/>
                <w:szCs w:val="32"/>
              </w:rPr>
              <w:t xml:space="preserve">Competency </w:t>
            </w:r>
            <w:r w:rsidRPr="000B4B8D">
              <w:rPr>
                <w:sz w:val="24"/>
                <w:szCs w:val="32"/>
                <w:cs/>
                <w:lang w:val="en-US"/>
              </w:rPr>
              <w:t>ตามแผน (</w:t>
            </w:r>
            <w:r w:rsidRPr="000B4B8D">
              <w:rPr>
                <w:rFonts w:ascii="Cambria Math" w:hAnsi="Cambria Math" w:cs="Cambria Math" w:hint="cs"/>
                <w:sz w:val="24"/>
                <w:szCs w:val="32"/>
                <w:cs/>
                <w:lang w:val="en-US"/>
              </w:rPr>
              <w:t>≥</w:t>
            </w:r>
            <w:r w:rsidRPr="000B4B8D">
              <w:rPr>
                <w:sz w:val="24"/>
                <w:szCs w:val="32"/>
              </w:rPr>
              <w:t>85%)</w:t>
            </w:r>
          </w:p>
        </w:tc>
        <w:tc>
          <w:tcPr>
            <w:tcW w:w="0" w:type="auto"/>
            <w:vAlign w:val="center"/>
            <w:hideMark/>
          </w:tcPr>
          <w:p w14:paraId="321EF307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 xml:space="preserve">• </w:t>
            </w:r>
            <w:r w:rsidRPr="000B4B8D">
              <w:rPr>
                <w:sz w:val="24"/>
                <w:szCs w:val="32"/>
                <w:cs/>
                <w:lang w:val="en-US"/>
              </w:rPr>
              <w:t>ร้อยละตำแหน่งสำคัญที่มีผู้สืบทอดพร้อมใช้งานจริง (</w:t>
            </w:r>
            <w:r w:rsidRPr="000B4B8D">
              <w:rPr>
                <w:rFonts w:ascii="Cambria Math" w:hAnsi="Cambria Math" w:cs="Cambria Math" w:hint="cs"/>
                <w:sz w:val="24"/>
                <w:szCs w:val="32"/>
                <w:cs/>
                <w:lang w:val="en-US"/>
              </w:rPr>
              <w:t>≥</w:t>
            </w:r>
            <w:r w:rsidRPr="000B4B8D">
              <w:rPr>
                <w:sz w:val="24"/>
                <w:szCs w:val="32"/>
              </w:rPr>
              <w:t>70%)</w:t>
            </w:r>
          </w:p>
        </w:tc>
        <w:tc>
          <w:tcPr>
            <w:tcW w:w="0" w:type="auto"/>
            <w:vAlign w:val="center"/>
            <w:hideMark/>
          </w:tcPr>
          <w:p w14:paraId="685E34DF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>7.3(4) Workforce Development</w:t>
            </w:r>
          </w:p>
        </w:tc>
      </w:tr>
      <w:tr w:rsidR="003336E7" w:rsidRPr="000B4B8D" w14:paraId="6C030E14" w14:textId="77777777" w:rsidTr="00254359">
        <w:trPr>
          <w:tblCellSpacing w:w="15" w:type="dxa"/>
        </w:trPr>
        <w:tc>
          <w:tcPr>
            <w:tcW w:w="1840" w:type="dxa"/>
            <w:vAlign w:val="center"/>
            <w:hideMark/>
          </w:tcPr>
          <w:p w14:paraId="28E6E5E3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b/>
                <w:bCs/>
                <w:sz w:val="24"/>
                <w:szCs w:val="32"/>
                <w:cs/>
                <w:lang w:val="en-US"/>
              </w:rPr>
              <w:t>ค.(</w:t>
            </w:r>
            <w:r w:rsidRPr="000B4B8D">
              <w:rPr>
                <w:b/>
                <w:bCs/>
                <w:sz w:val="24"/>
                <w:szCs w:val="32"/>
              </w:rPr>
              <w:t>4)</w:t>
            </w:r>
            <w:r w:rsidRPr="000B4B8D">
              <w:rPr>
                <w:sz w:val="24"/>
                <w:szCs w:val="32"/>
              </w:rPr>
              <w:t xml:space="preserve"> </w:t>
            </w:r>
            <w:r w:rsidRPr="000B4B8D">
              <w:rPr>
                <w:sz w:val="24"/>
                <w:szCs w:val="32"/>
                <w:cs/>
                <w:lang w:val="en-US"/>
              </w:rPr>
              <w:t>ความเท่าเทียมและการมีส่วนร่วม</w:t>
            </w:r>
          </w:p>
        </w:tc>
        <w:tc>
          <w:tcPr>
            <w:tcW w:w="2367" w:type="dxa"/>
            <w:vAlign w:val="center"/>
            <w:hideMark/>
          </w:tcPr>
          <w:p w14:paraId="3D0E02CB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  <w:cs/>
                <w:lang w:val="en-US"/>
              </w:rPr>
              <w:t>มีระบบสนับสนุนความหลากหลาย ความเท่าเทียม และการมีส่วนร่วมในที่ทำงาน</w:t>
            </w:r>
          </w:p>
        </w:tc>
        <w:tc>
          <w:tcPr>
            <w:tcW w:w="0" w:type="auto"/>
            <w:vAlign w:val="center"/>
            <w:hideMark/>
          </w:tcPr>
          <w:p w14:paraId="5D8DF61B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 xml:space="preserve">• </w:t>
            </w:r>
            <w:r w:rsidRPr="000B4B8D">
              <w:rPr>
                <w:sz w:val="24"/>
                <w:szCs w:val="32"/>
                <w:cs/>
                <w:lang w:val="en-US"/>
              </w:rPr>
              <w:t xml:space="preserve">จำนวนกิจกรรม/โครงการ </w:t>
            </w:r>
            <w:r w:rsidRPr="000B4B8D">
              <w:rPr>
                <w:sz w:val="24"/>
                <w:szCs w:val="32"/>
              </w:rPr>
              <w:t xml:space="preserve">DE&amp;I </w:t>
            </w:r>
            <w:r w:rsidRPr="000B4B8D">
              <w:rPr>
                <w:sz w:val="24"/>
                <w:szCs w:val="32"/>
                <w:cs/>
                <w:lang w:val="en-US"/>
              </w:rPr>
              <w:t>ต่อปี (</w:t>
            </w:r>
            <w:r w:rsidRPr="000B4B8D">
              <w:rPr>
                <w:rFonts w:ascii="Cambria Math" w:hAnsi="Cambria Math" w:cs="Cambria Math" w:hint="cs"/>
                <w:sz w:val="24"/>
                <w:szCs w:val="32"/>
                <w:cs/>
                <w:lang w:val="en-US"/>
              </w:rPr>
              <w:t>≥</w:t>
            </w:r>
            <w:r w:rsidRPr="000B4B8D">
              <w:rPr>
                <w:sz w:val="24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2A274F90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 xml:space="preserve">• </w:t>
            </w:r>
            <w:r w:rsidRPr="000B4B8D">
              <w:rPr>
                <w:sz w:val="24"/>
                <w:szCs w:val="32"/>
                <w:cs/>
                <w:lang w:val="en-US"/>
              </w:rPr>
              <w:t xml:space="preserve">ร้อยละบุคลากรเข้าร่วมกิจกรรม </w:t>
            </w:r>
            <w:r w:rsidRPr="000B4B8D">
              <w:rPr>
                <w:sz w:val="24"/>
                <w:szCs w:val="32"/>
              </w:rPr>
              <w:t>DE&amp;I ≥90%</w:t>
            </w:r>
          </w:p>
        </w:tc>
        <w:tc>
          <w:tcPr>
            <w:tcW w:w="0" w:type="auto"/>
            <w:vAlign w:val="center"/>
            <w:hideMark/>
          </w:tcPr>
          <w:p w14:paraId="4124146A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 xml:space="preserve">• </w:t>
            </w:r>
            <w:r w:rsidRPr="000B4B8D">
              <w:rPr>
                <w:sz w:val="24"/>
                <w:szCs w:val="32"/>
                <w:cs/>
                <w:lang w:val="en-US"/>
              </w:rPr>
              <w:t xml:space="preserve">คะแนนการรับรู้เรื่องความเท่าเทียม </w:t>
            </w:r>
            <w:r w:rsidRPr="000B4B8D">
              <w:rPr>
                <w:rFonts w:ascii="Cambria Math" w:hAnsi="Cambria Math" w:cs="Cambria Math" w:hint="cs"/>
                <w:sz w:val="24"/>
                <w:szCs w:val="32"/>
                <w:cs/>
                <w:lang w:val="en-US"/>
              </w:rPr>
              <w:t>≥</w:t>
            </w:r>
            <w:r w:rsidRPr="000B4B8D">
              <w:rPr>
                <w:sz w:val="24"/>
                <w:szCs w:val="32"/>
              </w:rPr>
              <w:t xml:space="preserve">4.2/5 • </w:t>
            </w:r>
            <w:r w:rsidRPr="000B4B8D">
              <w:rPr>
                <w:sz w:val="24"/>
                <w:szCs w:val="32"/>
                <w:cs/>
                <w:lang w:val="en-US"/>
              </w:rPr>
              <w:t xml:space="preserve">ดัชนีความผูกพันของกลุ่มเป้าหมายเฉพาะ </w:t>
            </w:r>
            <w:r w:rsidRPr="000B4B8D">
              <w:rPr>
                <w:rFonts w:ascii="Cambria Math" w:hAnsi="Cambria Math" w:cs="Cambria Math" w:hint="cs"/>
                <w:sz w:val="24"/>
                <w:szCs w:val="32"/>
                <w:cs/>
                <w:lang w:val="en-US"/>
              </w:rPr>
              <w:t>≥</w:t>
            </w:r>
            <w:r w:rsidRPr="000B4B8D">
              <w:rPr>
                <w:sz w:val="24"/>
                <w:szCs w:val="32"/>
              </w:rPr>
              <w:t>75%</w:t>
            </w:r>
          </w:p>
        </w:tc>
        <w:tc>
          <w:tcPr>
            <w:tcW w:w="0" w:type="auto"/>
            <w:vAlign w:val="center"/>
            <w:hideMark/>
          </w:tcPr>
          <w:p w14:paraId="202FFCD4" w14:textId="77777777" w:rsidR="003336E7" w:rsidRPr="000B4B8D" w:rsidRDefault="003336E7" w:rsidP="00254359">
            <w:pPr>
              <w:jc w:val="center"/>
              <w:rPr>
                <w:sz w:val="24"/>
                <w:szCs w:val="32"/>
              </w:rPr>
            </w:pPr>
            <w:r w:rsidRPr="000B4B8D">
              <w:rPr>
                <w:sz w:val="24"/>
                <w:szCs w:val="32"/>
              </w:rPr>
              <w:t>7.3(4) Workforce Inclusion &amp; Well-being</w:t>
            </w:r>
          </w:p>
        </w:tc>
      </w:tr>
    </w:tbl>
    <w:p w14:paraId="4C69F363" w14:textId="77777777" w:rsidR="003336E7" w:rsidRPr="000D5097" w:rsidRDefault="003336E7" w:rsidP="000D5097">
      <w:pPr>
        <w:jc w:val="center"/>
        <w:rPr>
          <w:sz w:val="28"/>
          <w:szCs w:val="36"/>
          <w:lang w:val="en-US"/>
        </w:rPr>
      </w:pPr>
    </w:p>
    <w:sectPr w:rsidR="003336E7" w:rsidRPr="000D5097" w:rsidSect="008E3A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FF"/>
    <w:rsid w:val="000D5097"/>
    <w:rsid w:val="00145E6E"/>
    <w:rsid w:val="002E6103"/>
    <w:rsid w:val="003336E7"/>
    <w:rsid w:val="003D567B"/>
    <w:rsid w:val="00785F47"/>
    <w:rsid w:val="008E3AFF"/>
    <w:rsid w:val="00BB73D3"/>
    <w:rsid w:val="00D03196"/>
    <w:rsid w:val="00F6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210C"/>
  <w15:chartTrackingRefBased/>
  <w15:docId w15:val="{A53D83E8-862A-463E-AF3A-AC814E9C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F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AF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AF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E3A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E3A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E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Chernchok Soankwan</dc:creator>
  <cp:keywords/>
  <dc:description/>
  <cp:lastModifiedBy>LENOVO</cp:lastModifiedBy>
  <cp:revision>5</cp:revision>
  <dcterms:created xsi:type="dcterms:W3CDTF">2025-10-28T00:57:00Z</dcterms:created>
  <dcterms:modified xsi:type="dcterms:W3CDTF">2025-12-02T03:32:00Z</dcterms:modified>
</cp:coreProperties>
</file>